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A237E"/>
          <w:sz w:val="44"/>
        </w:rPr>
        <w:t>钢材行业周报</w:t>
      </w:r>
    </w:p>
    <w:p>
      <w:pPr>
        <w:jc w:val="center"/>
      </w:pPr>
      <w:r>
        <w:rPr>
          <w:rFonts w:ascii="Times New Roman" w:hAnsi="Times New Roman" w:eastAsia="Times New Roman"/>
          <w:b/>
          <w:color w:val="1A237E"/>
          <w:sz w:val="28"/>
        </w:rPr>
        <w:t>Steel Industry Weekly Report</w:t>
      </w:r>
    </w:p>
    <w:p>
      <w:pPr>
        <w:spacing w:after="240"/>
        <w:jc w:val="center"/>
      </w:pPr>
      <w:r>
        <w:rPr>
          <w:rFonts w:ascii="Microsoft YaHei" w:hAnsi="Microsoft YaHei" w:eastAsia="Microsoft YaHei"/>
          <w:color w:val="222222"/>
          <w:sz w:val="22"/>
        </w:rPr>
        <w:t>2026年第33周（2026年8月4日—8月10日）</w:t>
      </w:r>
      <w:r>
        <w:rPr>
          <w:rFonts w:ascii="Times New Roman" w:hAnsi="Times New Roman" w:eastAsia="Times New Roman"/>
          <w:i/>
          <w:color w:val="666666"/>
          <w:sz w:val="20"/>
        </w:rPr>
        <w:br/>
        <w:t>Week 33, 2026 (Aug 4—Aug 10, 2026)</w:t>
      </w:r>
    </w:p>
    <w:p>
      <w:pPr>
        <w:spacing w:after="200"/>
        <w:jc w:val="left"/>
      </w:pPr>
      <w:r>
        <w:rPr>
          <w:rFonts w:ascii="Microsoft YaHei" w:hAnsi="Microsoft YaHei" w:eastAsia="Microsoft YaHei"/>
          <w:b/>
          <w:color w:val="C00000"/>
          <w:sz w:val="17"/>
        </w:rPr>
        <w:t>免责声明 / Disclaimer：</w:t>
      </w:r>
      <w:r>
        <w:rPr>
          <w:rFonts w:ascii="Microsoft YaHei" w:hAnsi="Microsoft YaHei" w:eastAsia="Microsoft YaHei"/>
          <w:color w:val="666666"/>
          <w:sz w:val="17"/>
        </w:rPr>
        <w:t>本报告基于公开数据整理，仅供B2B客户参考，不构成投资建议。报告中的市场判断与预测仅代表作者观点，实际走势可能受多重因素影响。</w:t>
      </w:r>
      <w:r>
        <w:rPr>
          <w:rFonts w:ascii="Times New Roman" w:hAnsi="Times New Roman" w:eastAsia="Times New Roman"/>
          <w:i/>
          <w:color w:val="666666"/>
          <w:sz w:val="16"/>
        </w:rPr>
        <w:br/>
        <w:t>This report is compiled from publicly available data for B2B reference only and does not constitute investment advice. Market views and forecasts represent the author's opinions; actual trends may be affected by multiple factors.</w:t>
      </w:r>
    </w:p>
    <w:p>
      <w:pPr>
        <w:spacing w:before="360" w:after="120"/>
      </w:pPr>
      <w:r>
        <w:rPr>
          <w:rFonts w:ascii="Microsoft YaHei" w:hAnsi="Microsoft YaHei" w:eastAsia="Microsoft YaHei"/>
          <w:b/>
          <w:color w:val="1A237E"/>
          <w:sz w:val="32"/>
        </w:rPr>
        <w:t>一、本周综述</w:t>
      </w:r>
    </w:p>
    <w:p>
      <w:pPr>
        <w:spacing w:after="60" w:line="240" w:lineRule="auto"/>
      </w:pPr>
      <w:r>
        <w:rPr>
          <w:rFonts w:ascii="Microsoft YaHei" w:hAnsi="Microsoft YaHei" w:eastAsia="Microsoft YaHei"/>
          <w:b w:val="0"/>
          <w:color w:val="222222"/>
          <w:sz w:val="18"/>
        </w:rPr>
        <w:t>本周（8月4日—10日）黑色系先跌后涨、宽幅震荡。Mysteel全国钢材价格指数报3400元/吨，周跌5元/吨（-0.13%），Myspic综合指数降至120.39点。成材端供需双降延续：五大品种供应805.96万吨（-12.34万吨/-1.5%），总库存1653.19万吨（+17.37万吨/+1.1%），消费量788.59万吨（-2.9%），建材消费骤降9.6%，淡季基本面持续恶化。钢厂盈利率进一步降至32.03%（-1.74pp），近七成企业亏损，铁水产量因唐山环保检修结束短期回升，但Mysteel预计下周仍将回落至235万吨附近。焦炭第三轮提降落地，铁矿石47港库存增至1.75亿吨高位，成本中枢继续下移。海运市场延续分化：SCFI 8月7日报3276.14点周涨2.19%，连续两周反弹；美西涨4.09%至6484美元/FEU、美东涨2.61%至9290美元/FEU；欧线续跌2.46%至2964美元/TEU；波斯湾线大涨7.44%至5258美元/TEU。BDI 8月10日报3083点，周线大涨13.1%创6月3日以来新高；BCI周涨19.4%至5105点，海岬型日均收益42797美元。地缘政治冰火两重天：周初因美伊谈判乐观信号布伦特暴跌至79美元附近，周中触及78美元低点后强劲反弹，8月10日WTI大涨5.05%至82.13美元/桶、布伦特涨约5%至87.72美元/桶——美伊谈判8月10日陷入僵局，特朗普反要伊朗赔偿，霍尔木兹海峡全面开放遥遥无期。美国战略石油储备跌破3亿桶至1983年来最低。贸易政策密集加码：日本8月7日对华热镀锌钢带征收29.2%-55.3%临时反倾销税；马来西亚对华预涂钢卷和镀铝锌扁轧制品双线立案；欧盟对多国冷轧板卷反倾销终裁5.6%-28.0%。7月中国钢材出口1012.1万吨，1-7月累计6499.5万吨（-4.4% YoY）。</w:t>
      </w:r>
    </w:p>
    <w:p>
      <w:pPr>
        <w:spacing w:after="160" w:line="240" w:lineRule="auto"/>
      </w:pPr>
      <w:r>
        <w:rPr>
          <w:rFonts w:ascii="Times New Roman" w:hAnsi="Times New Roman" w:eastAsia="Times New Roman"/>
          <w:i/>
          <w:color w:val="666666"/>
          <w:sz w:val="17"/>
        </w:rPr>
        <w:t>This week (Aug 4-10), the ferrous complex saw wide swings - first falling then rebounding. Mysteel national steel price index stood at 3,400 yuan/t, down 5 yuan/wk (-0.13%); Myspic Composite fell to 120.39 pts. Finished steel supply and demand both declined: five major products supply 8.0596 Mt (-0.1234 Mt/-1.5%), total inventory 16.5319 Mt (+0.1737 Mt/+1.1%), consumption 7.8859 Mt (-2.9%), with building steel consumption plunging 9.6%; off-season fundamentals continued to deteriorate. Mill profitability fell further to 32.03% (-1.74pp), with nearly 70% of mills loss-making; hot metal output rebounded slightly as Tangshan environmental maintenance ended, but Mysteel expects it to fall back to ~2.35 Mt/day next week. Third coke price cut took effect; iron ore 47-port inventory climbed to 175 Mt high; cost center continued to move lower. Shipping markets diverged: SCFI rose 2.19% WoW to 3,276.14 pts on Aug 7, rising for a second week; USWC +4.09% to USD 6,484/FEU, USEC +2.61% to USD 9,290/FEU; Europe -2.46% to USD 2,964/TEU; Persian Gulf +7.44% to USD 5,258/TEU. BDI at 3,083 pts on Aug 10, up 13.1% for the week to a high since Jun 3; BCI surged 19.4% to 5,105, with Capesize TCE at USD 42,797/day. Geopolitics ran hot and cold: early-week optimism on U.S.-Iran talks sent Brent plunging toward USD 79; after hitting USD 78 mid-week, prices rebounded sharply; on Aug 10 WTI surged 5.05% to USD 82.13/bbl and Brent rose ~5% to USD 87.72 — as U.S.-Iran talks stalled on Aug 10 with Trump counter-demanding reparations from Iran, making full Hormuz reopening remote. U.S. SPR fell below 300 million barrels to the lowest since 1983. Trade policy actions intensified: Japan imposed 29.2%-55.3% provisional AD on Chinese HDG steel on Aug 7; Malaysia launched dual investigations on Chinese prepainted coils and galvalume flat products; EU finalized AD of 5.6%-28.0% on CRC from multiple countries. July steel exports 10.121 Mt; Jan-Jul cumulative 64.995 Mt (-4.4% YoY).</w:t>
      </w:r>
    </w:p>
    <w:p>
      <w:pPr>
        <w:spacing w:before="360" w:after="120"/>
      </w:pPr>
      <w:r>
        <w:rPr>
          <w:rFonts w:ascii="Microsoft YaHei" w:hAnsi="Microsoft YaHei" w:eastAsia="Microsoft YaHei"/>
          <w:b/>
          <w:color w:val="1A237E"/>
          <w:sz w:val="32"/>
        </w:rPr>
        <w:t>二、国内国际新闻大事件</w:t>
      </w:r>
    </w:p>
    <w:tbl>
      <w:tblPr>
        <w:tblStyle w:val="TableGrid"/>
        <w:tblW w:type="auto" w:w="0"/>
        <w:jc w:val="center"/>
        <w:tblLook w:firstColumn="1" w:firstRow="1" w:lastColumn="0" w:lastRow="0" w:noHBand="0" w:noVBand="1" w:val="04A0"/>
      </w:tblPr>
      <w:tblGrid>
        <w:gridCol w:w="3213"/>
        <w:gridCol w:w="3213"/>
        <w:gridCol w:w="3213"/>
      </w:tblGrid>
      <w:tr>
        <w:tc>
          <w:tcPr>
            <w:tcW w:type="dxa" w:w="2551"/>
            <w:shd w:fill="1A237E"/>
            <w:vAlign w:val="center"/>
          </w:tcPr>
          <w:p>
            <w:pPr>
              <w:jc w:val="center"/>
            </w:pPr>
            <w:r>
              <w:rPr>
                <w:rFonts w:ascii="Microsoft YaHei" w:hAnsi="Microsoft YaHei" w:eastAsia="Microsoft YaHei"/>
                <w:b/>
                <w:color w:val="FFFFFF"/>
                <w:sz w:val="18"/>
              </w:rPr>
              <w:t>主题 / Topic</w:t>
            </w:r>
            <w:r>
              <w:rPr>
                <w:rFonts w:ascii="Times New Roman" w:hAnsi="Times New Roman" w:eastAsia="Times New Roman"/>
                <w:b/>
                <w:i/>
                <w:color w:val="DDDDDD"/>
                <w:sz w:val="17"/>
              </w:rPr>
              <w:br/>
              <w:t>Theme</w:t>
            </w:r>
          </w:p>
        </w:tc>
        <w:tc>
          <w:tcPr>
            <w:tcW w:type="dxa" w:w="4252"/>
            <w:shd w:fill="1A237E"/>
            <w:vAlign w:val="center"/>
          </w:tcPr>
          <w:p>
            <w:pPr>
              <w:jc w:val="center"/>
            </w:pPr>
            <w:r>
              <w:rPr>
                <w:rFonts w:ascii="Microsoft YaHei" w:hAnsi="Microsoft YaHei" w:eastAsia="Microsoft YaHei"/>
                <w:b/>
                <w:color w:val="FFFFFF"/>
                <w:sz w:val="18"/>
              </w:rPr>
              <w:t>核心内容 / Key Points</w:t>
            </w:r>
            <w:r>
              <w:rPr>
                <w:rFonts w:ascii="Times New Roman" w:hAnsi="Times New Roman" w:eastAsia="Times New Roman"/>
                <w:b/>
                <w:i/>
                <w:color w:val="DDDDDD"/>
                <w:sz w:val="17"/>
              </w:rPr>
              <w:br/>
              <w:t>Details</w:t>
            </w:r>
          </w:p>
        </w:tc>
        <w:tc>
          <w:tcPr>
            <w:tcW w:type="dxa" w:w="2551"/>
            <w:shd w:fill="1A237E"/>
            <w:vAlign w:val="center"/>
          </w:tcPr>
          <w:p>
            <w:pPr>
              <w:jc w:val="center"/>
            </w:pPr>
            <w:r>
              <w:rPr>
                <w:rFonts w:ascii="Microsoft YaHei" w:hAnsi="Microsoft YaHei" w:eastAsia="Microsoft YaHei"/>
                <w:b/>
                <w:color w:val="FFFFFF"/>
                <w:sz w:val="18"/>
              </w:rPr>
              <w:t>影响评估 / Impact</w:t>
            </w:r>
            <w:r>
              <w:rPr>
                <w:rFonts w:ascii="Times New Roman" w:hAnsi="Times New Roman" w:eastAsia="Times New Roman"/>
                <w:b/>
                <w:i/>
                <w:color w:val="DDDDDD"/>
                <w:sz w:val="17"/>
              </w:rPr>
              <w:br/>
              <w:t>Assessment</w:t>
            </w:r>
          </w:p>
        </w:tc>
      </w:tr>
      <w:tr>
        <w:tc>
          <w:tcPr>
            <w:tcW w:type="dxa" w:w="2551"/>
            <w:vAlign w:val="center"/>
          </w:tcPr>
          <w:p>
            <w:pPr>
              <w:jc w:val="left"/>
            </w:pPr>
            <w:r>
              <w:rPr>
                <w:rFonts w:ascii="Microsoft YaHei" w:hAnsi="Microsoft YaHei" w:eastAsia="Microsoft YaHei"/>
                <w:color w:val="222222"/>
                <w:sz w:val="18"/>
              </w:rPr>
              <w:t>五大品种供需双降、库存加速累加</w:t>
            </w:r>
            <w:r>
              <w:rPr>
                <w:rFonts w:ascii="Times New Roman" w:hAnsi="Times New Roman" w:eastAsia="Times New Roman"/>
                <w:i/>
                <w:color w:val="666666"/>
                <w:sz w:val="17"/>
              </w:rPr>
              <w:br/>
              <w:t>Five major products supply-demand both fall; inventory build accelerates</w:t>
            </w:r>
          </w:p>
        </w:tc>
        <w:tc>
          <w:tcPr>
            <w:tcW w:type="dxa" w:w="4252"/>
            <w:vAlign w:val="center"/>
          </w:tcPr>
          <w:p>
            <w:pPr>
              <w:jc w:val="left"/>
            </w:pPr>
            <w:r>
              <w:rPr>
                <w:rFonts w:ascii="Microsoft YaHei" w:hAnsi="Microsoft YaHei" w:eastAsia="Microsoft YaHei"/>
                <w:color w:val="222222"/>
                <w:sz w:val="18"/>
              </w:rPr>
              <w:t>Mysteel：8月7日当周，五大品种供应805.96万吨（-12.34万吨/-1.5%），总库存1653.19万吨（+17.37万吨/+1.1%），同比增277.8万吨（+20.2%）。消费量788.59万吨（-2.9%），建材消费降9.6%、板材消费微增0.6%。Myspic综合指数报120.39点。</w:t>
            </w:r>
            <w:r>
              <w:rPr>
                <w:rFonts w:ascii="Times New Roman" w:hAnsi="Times New Roman" w:eastAsia="Times New Roman"/>
                <w:i/>
                <w:color w:val="666666"/>
                <w:sz w:val="17"/>
              </w:rPr>
              <w:br/>
              <w:t>Mysteel: Week of Aug 7, five major products supply 8.0596 Mt (-0.1234 Mt/-1.5%), total inventory 16.5319 Mt (+0.1737 Mt/+1.1%, +2.778 Mt/+20.2% YoY). Consumption 7.8859 Mt (-2.9%); building steel -9.6%, flat steel +0.6%. Myspic Composite at 120.39.</w:t>
            </w:r>
          </w:p>
        </w:tc>
        <w:tc>
          <w:tcPr>
            <w:tcW w:type="dxa" w:w="2551"/>
            <w:vAlign w:val="center"/>
          </w:tcPr>
          <w:p>
            <w:pPr>
              <w:jc w:val="left"/>
            </w:pPr>
            <w:r>
              <w:rPr>
                <w:rFonts w:ascii="Microsoft YaHei" w:hAnsi="Microsoft YaHei" w:eastAsia="Microsoft YaHei"/>
                <w:color w:val="222222"/>
                <w:sz w:val="18"/>
              </w:rPr>
              <w:t>淡季供需双弱，厂库社库共振累库；高库存同比+20%成为价格反弹主要阻力，供需再平衡仍需时间。</w:t>
            </w:r>
            <w:r>
              <w:rPr>
                <w:rFonts w:ascii="Times New Roman" w:hAnsi="Times New Roman" w:eastAsia="Times New Roman"/>
                <w:i/>
                <w:color w:val="666666"/>
                <w:sz w:val="17"/>
              </w:rPr>
              <w:br/>
              <w:t>Off-season supply/demand both weak; mill and social inventory accumulating in tandem; high inventory (+20% YoY) is the main obstacle to price rebound; rebalancing will take time.</w:t>
            </w:r>
          </w:p>
        </w:tc>
      </w:tr>
      <w:tr>
        <w:tc>
          <w:tcPr>
            <w:tcW w:type="dxa" w:w="2551"/>
            <w:vAlign w:val="center"/>
            <w:shd w:fill="F2F2F2"/>
          </w:tcPr>
          <w:p>
            <w:pPr>
              <w:jc w:val="left"/>
            </w:pPr>
            <w:r>
              <w:rPr>
                <w:rFonts w:ascii="Microsoft YaHei" w:hAnsi="Microsoft YaHei" w:eastAsia="Microsoft YaHei"/>
                <w:color w:val="222222"/>
                <w:sz w:val="18"/>
              </w:rPr>
              <w:t>钢厂盈利率跌破33%、亏损面持续扩大</w:t>
            </w:r>
            <w:r>
              <w:rPr>
                <w:rFonts w:ascii="Times New Roman" w:hAnsi="Times New Roman" w:eastAsia="Times New Roman"/>
                <w:i/>
                <w:color w:val="666666"/>
                <w:sz w:val="17"/>
              </w:rPr>
              <w:br/>
              <w:t>Mill profitability falls below 33%; losses deepen</w:t>
            </w:r>
          </w:p>
        </w:tc>
        <w:tc>
          <w:tcPr>
            <w:tcW w:type="dxa" w:w="4252"/>
            <w:vAlign w:val="center"/>
            <w:shd w:fill="F2F2F2"/>
          </w:tcPr>
          <w:p>
            <w:pPr>
              <w:jc w:val="left"/>
            </w:pPr>
            <w:r>
              <w:rPr>
                <w:rFonts w:ascii="Microsoft YaHei" w:hAnsi="Microsoft YaHei" w:eastAsia="Microsoft YaHei"/>
                <w:color w:val="222222"/>
                <w:sz w:val="18"/>
              </w:rPr>
              <w:t>247家钢厂盈利率降至32.03%（-1.74pp），处于近两年低位（8.8%分位）。螺纹利润-117元/吨、热卷利润-34元/吨。铁水产量因唐山环保检修结束短期回升，但预计下周仍将回落至235万吨左右。焦炭第三轮提降已落地。</w:t>
            </w:r>
            <w:r>
              <w:rPr>
                <w:rFonts w:ascii="Times New Roman" w:hAnsi="Times New Roman" w:eastAsia="Times New Roman"/>
                <w:i/>
                <w:color w:val="666666"/>
                <w:sz w:val="17"/>
              </w:rPr>
              <w:br/>
              <w:t>247 mills profitability dropped to 32.03% (-1.74pp), at a near-two-year low (8.8 percentile). Rebar profit -117 yuan/t, HRC profit -34 yuan/t. Hot metal rebounded as Tangshan environmental maintenance ended, but expected to fall back to ~2.35 Mt/day next week. Third coke price cut implemented.</w:t>
            </w:r>
          </w:p>
        </w:tc>
        <w:tc>
          <w:tcPr>
            <w:tcW w:type="dxa" w:w="2551"/>
            <w:vAlign w:val="center"/>
            <w:shd w:fill="F2F2F2"/>
          </w:tcPr>
          <w:p>
            <w:pPr>
              <w:jc w:val="left"/>
            </w:pPr>
            <w:r>
              <w:rPr>
                <w:rFonts w:ascii="Microsoft YaHei" w:hAnsi="Microsoft YaHei" w:eastAsia="Microsoft YaHei"/>
                <w:color w:val="222222"/>
                <w:sz w:val="18"/>
              </w:rPr>
              <w:t>近七成钢厂亏损，8月中下旬仍有检修计划公布，供给端收缩有望加速，但需求下滑速度仍快于减产。</w:t>
            </w:r>
            <w:r>
              <w:rPr>
                <w:rFonts w:ascii="Times New Roman" w:hAnsi="Times New Roman" w:eastAsia="Times New Roman"/>
                <w:i/>
                <w:color w:val="666666"/>
                <w:sz w:val="17"/>
              </w:rPr>
              <w:br/>
              <w:t>Nearly 70% mills loss-making; more maintenance announced for mid-to-late Aug; supply contraction may accelerate, but demand is falling faster than cuts.</w:t>
            </w:r>
          </w:p>
        </w:tc>
      </w:tr>
      <w:tr>
        <w:tc>
          <w:tcPr>
            <w:tcW w:type="dxa" w:w="2551"/>
            <w:vAlign w:val="center"/>
          </w:tcPr>
          <w:p>
            <w:pPr>
              <w:jc w:val="left"/>
            </w:pPr>
            <w:r>
              <w:rPr>
                <w:rFonts w:ascii="Microsoft YaHei" w:hAnsi="Microsoft YaHei" w:eastAsia="Microsoft YaHei"/>
                <w:color w:val="222222"/>
                <w:sz w:val="18"/>
              </w:rPr>
              <w:t>7月中国钢材出口1012万吨、累计同比降4.4%</w:t>
            </w:r>
            <w:r>
              <w:rPr>
                <w:rFonts w:ascii="Times New Roman" w:hAnsi="Times New Roman" w:eastAsia="Times New Roman"/>
                <w:i/>
                <w:color w:val="666666"/>
                <w:sz w:val="17"/>
              </w:rPr>
              <w:br/>
              <w:t>Jul steel exports 10.12 Mt; cumulative down 4.4% YoY</w:t>
            </w:r>
          </w:p>
        </w:tc>
        <w:tc>
          <w:tcPr>
            <w:tcW w:type="dxa" w:w="4252"/>
            <w:vAlign w:val="center"/>
          </w:tcPr>
          <w:p>
            <w:pPr>
              <w:jc w:val="left"/>
            </w:pPr>
            <w:r>
              <w:rPr>
                <w:rFonts w:ascii="Microsoft YaHei" w:hAnsi="Microsoft YaHei" w:eastAsia="Microsoft YaHei"/>
                <w:color w:val="222222"/>
                <w:sz w:val="18"/>
              </w:rPr>
              <w:t>海关总署：7月出口钢材1012.1万吨；1-7月累计6499.5万吨，同比下降4.4%。同期进口44.5万吨，累计314万吨（-10.1% YoY）。出口下降受贸易摩擦密集加码及出口许可证制度双重影响。</w:t>
            </w:r>
            <w:r>
              <w:rPr>
                <w:rFonts w:ascii="Times New Roman" w:hAnsi="Times New Roman" w:eastAsia="Times New Roman"/>
                <w:i/>
                <w:color w:val="666666"/>
                <w:sz w:val="17"/>
              </w:rPr>
              <w:br/>
              <w:t>GACC: Jul steel exports 10.121 Mt; Jan-Jul cumulative 64.995 Mt, down 4.4% YoY. Imports 445,000 t in Jul, cumulative 3.14 Mt (-10.1% YoY). Export decline driven by intensifying trade frictions and the export licensing system.</w:t>
            </w:r>
          </w:p>
        </w:tc>
        <w:tc>
          <w:tcPr>
            <w:tcW w:type="dxa" w:w="2551"/>
            <w:vAlign w:val="center"/>
          </w:tcPr>
          <w:p>
            <w:pPr>
              <w:jc w:val="left"/>
            </w:pPr>
            <w:r>
              <w:rPr>
                <w:rFonts w:ascii="Microsoft YaHei" w:hAnsi="Microsoft YaHei" w:eastAsia="Microsoft YaHei"/>
                <w:color w:val="222222"/>
                <w:sz w:val="18"/>
              </w:rPr>
              <w:t>出口收缩态势延续，叠加日本、马来西亚、欧盟本周密集立案，下半年出口空间进一步收窄。</w:t>
            </w:r>
            <w:r>
              <w:rPr>
                <w:rFonts w:ascii="Times New Roman" w:hAnsi="Times New Roman" w:eastAsia="Times New Roman"/>
                <w:i/>
                <w:color w:val="666666"/>
                <w:sz w:val="17"/>
              </w:rPr>
              <w:br/>
              <w:t>Export contraction continues; with Japan, Malaysia and EU launching multiple cases this week, H2 export space narrows further.</w:t>
            </w:r>
          </w:p>
        </w:tc>
      </w:tr>
      <w:tr>
        <w:tc>
          <w:tcPr>
            <w:tcW w:type="dxa" w:w="2551"/>
            <w:vAlign w:val="center"/>
            <w:shd w:fill="F2F2F2"/>
          </w:tcPr>
          <w:p>
            <w:pPr>
              <w:jc w:val="left"/>
            </w:pPr>
            <w:r>
              <w:rPr>
                <w:rFonts w:ascii="Microsoft YaHei" w:hAnsi="Microsoft YaHei" w:eastAsia="Microsoft YaHei"/>
                <w:color w:val="222222"/>
                <w:sz w:val="18"/>
              </w:rPr>
              <w:t>央行下半年工作会议释放宽松信号、8000亿财政工具加快投放</w:t>
            </w:r>
            <w:r>
              <w:rPr>
                <w:rFonts w:ascii="Times New Roman" w:hAnsi="Times New Roman" w:eastAsia="Times New Roman"/>
                <w:i/>
                <w:color w:val="666666"/>
                <w:sz w:val="17"/>
              </w:rPr>
              <w:br/>
              <w:t>PBoC H2 meeting signals easing; 800B fiscal tools accelerating</w:t>
            </w:r>
          </w:p>
        </w:tc>
        <w:tc>
          <w:tcPr>
            <w:tcW w:type="dxa" w:w="4252"/>
            <w:vAlign w:val="center"/>
            <w:shd w:fill="F2F2F2"/>
          </w:tcPr>
          <w:p>
            <w:pPr>
              <w:jc w:val="left"/>
            </w:pPr>
            <w:r>
              <w:rPr>
                <w:rFonts w:ascii="Microsoft YaHei" w:hAnsi="Microsoft YaHei" w:eastAsia="Microsoft YaHei"/>
                <w:color w:val="222222"/>
                <w:sz w:val="18"/>
              </w:rPr>
              <w:t>央行下半年工作会议明确货币政策将加快；财政端8000亿元政策性工具加快投放；7月新增专项债中仅34%可用于项目建设，资金到位率54.57%连续四周下降。</w:t>
            </w:r>
            <w:r>
              <w:rPr>
                <w:rFonts w:ascii="Times New Roman" w:hAnsi="Times New Roman" w:eastAsia="Times New Roman"/>
                <w:i/>
                <w:color w:val="666666"/>
                <w:sz w:val="17"/>
              </w:rPr>
              <w:br/>
              <w:t>PBoC H2 meeting signaled faster monetary policy; 800 billion yuan policy tools accelerating; only 34% of July new special bonds available for project construction; fund availability 54.57%, falling for four consecutive weeks.</w:t>
            </w:r>
          </w:p>
        </w:tc>
        <w:tc>
          <w:tcPr>
            <w:tcW w:type="dxa" w:w="2551"/>
            <w:vAlign w:val="center"/>
            <w:shd w:fill="F2F2F2"/>
          </w:tcPr>
          <w:p>
            <w:pPr>
              <w:jc w:val="left"/>
            </w:pPr>
            <w:r>
              <w:rPr>
                <w:rFonts w:ascii="Microsoft YaHei" w:hAnsi="Microsoft YaHei" w:eastAsia="Microsoft YaHei"/>
                <w:color w:val="222222"/>
                <w:sz w:val="18"/>
              </w:rPr>
              <w:t>宏观政策对冲外部不确定性，但从政策落实到终端需求改善仍需时间，短期钢价缺乏宏观面支撑。</w:t>
            </w:r>
            <w:r>
              <w:rPr>
                <w:rFonts w:ascii="Times New Roman" w:hAnsi="Times New Roman" w:eastAsia="Times New Roman"/>
                <w:i/>
                <w:color w:val="666666"/>
                <w:sz w:val="17"/>
              </w:rPr>
              <w:br/>
              <w:t>Macro policy hedging external uncertainty, but lag from policy to terminal demand improvement means short-term steel prices lack macro support.</w:t>
            </w:r>
          </w:p>
        </w:tc>
      </w:tr>
      <w:tr>
        <w:tc>
          <w:tcPr>
            <w:tcW w:type="dxa" w:w="2551"/>
            <w:vAlign w:val="center"/>
          </w:tcPr>
          <w:p>
            <w:pPr>
              <w:jc w:val="left"/>
            </w:pPr>
            <w:r>
              <w:rPr>
                <w:rFonts w:ascii="Microsoft YaHei" w:hAnsi="Microsoft YaHei" w:eastAsia="Microsoft YaHei"/>
                <w:color w:val="222222"/>
                <w:sz w:val="18"/>
              </w:rPr>
              <w:t>8月东北建筑钢材南下发运同比大幅减少</w:t>
            </w:r>
            <w:r>
              <w:rPr>
                <w:rFonts w:ascii="Times New Roman" w:hAnsi="Times New Roman" w:eastAsia="Times New Roman"/>
                <w:i/>
                <w:color w:val="666666"/>
                <w:sz w:val="17"/>
              </w:rPr>
              <w:br/>
              <w:t>Aug Northeast rebar southbound shipments down sharply YoY</w:t>
            </w:r>
          </w:p>
        </w:tc>
        <w:tc>
          <w:tcPr>
            <w:tcW w:type="dxa" w:w="4252"/>
            <w:vAlign w:val="center"/>
          </w:tcPr>
          <w:p>
            <w:pPr>
              <w:jc w:val="left"/>
            </w:pPr>
            <w:r>
              <w:rPr>
                <w:rFonts w:ascii="Microsoft YaHei" w:hAnsi="Microsoft YaHei" w:eastAsia="Microsoft YaHei"/>
                <w:color w:val="222222"/>
                <w:sz w:val="18"/>
              </w:rPr>
              <w:t>8月东北螺纹钢南下计划发运量14.7万吨，同比减少29.2万吨；盘线南下19.6万吨，同比减少10.6万吨。反映北方需求疲弱及南北价差收窄。</w:t>
            </w:r>
            <w:r>
              <w:rPr>
                <w:rFonts w:ascii="Times New Roman" w:hAnsi="Times New Roman" w:eastAsia="Times New Roman"/>
                <w:i/>
                <w:color w:val="666666"/>
                <w:sz w:val="17"/>
              </w:rPr>
              <w:br/>
              <w:t>Aug Northeast rebar southbound plan 14,700 t, down 29,200 t YoY; wire rod 19,600 t, down 10,600 t YoY. Reflects weak northern demand and narrowing north-south price spread.</w:t>
            </w:r>
          </w:p>
        </w:tc>
        <w:tc>
          <w:tcPr>
            <w:tcW w:type="dxa" w:w="2551"/>
            <w:vAlign w:val="center"/>
          </w:tcPr>
          <w:p>
            <w:pPr>
              <w:jc w:val="left"/>
            </w:pPr>
            <w:r>
              <w:rPr>
                <w:rFonts w:ascii="Microsoft YaHei" w:hAnsi="Microsoft YaHei" w:eastAsia="Microsoft YaHei"/>
                <w:color w:val="222222"/>
                <w:sz w:val="18"/>
              </w:rPr>
              <w:t>区域材流动格局调整，南方市场到货压力边际减轻，但整体供需失衡格局不变。</w:t>
            </w:r>
            <w:r>
              <w:rPr>
                <w:rFonts w:ascii="Times New Roman" w:hAnsi="Times New Roman" w:eastAsia="Times New Roman"/>
                <w:i/>
                <w:color w:val="666666"/>
                <w:sz w:val="17"/>
              </w:rPr>
              <w:br/>
              <w:t>Regional material flow pattern adjusting; southbound arrival pressure eases marginally, but overall supply-demand imbalance persists.</w:t>
            </w:r>
          </w:p>
        </w:tc>
      </w:tr>
    </w:tbl>
    <w:p/>
    <w:p>
      <w:pPr>
        <w:spacing w:before="360" w:after="120"/>
      </w:pPr>
      <w:r>
        <w:rPr>
          <w:rFonts w:ascii="Microsoft YaHei" w:hAnsi="Microsoft YaHei" w:eastAsia="Microsoft YaHei"/>
          <w:b/>
          <w:color w:val="1A237E"/>
          <w:sz w:val="32"/>
        </w:rPr>
        <w:t>三、海运物流</w:t>
      </w:r>
    </w:p>
    <w:p>
      <w:pPr>
        <w:spacing w:before="240" w:after="80"/>
      </w:pPr>
      <w:r>
        <w:rPr>
          <w:rFonts w:ascii="Microsoft YaHei" w:hAnsi="Microsoft YaHei" w:eastAsia="Microsoft YaHei"/>
          <w:b/>
          <w:color w:val="C00000"/>
          <w:sz w:val="24"/>
        </w:rPr>
        <w:t>3.1 集装箱运价 Container Freight</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701"/>
            <w:shd w:fill="1A237E"/>
            <w:vAlign w:val="center"/>
          </w:tcPr>
          <w:p>
            <w:pPr>
              <w:jc w:val="center"/>
            </w:pPr>
            <w:r>
              <w:rPr>
                <w:rFonts w:ascii="Microsoft YaHei" w:hAnsi="Microsoft YaHei" w:eastAsia="Microsoft YaHei"/>
                <w:b/>
                <w:color w:val="FFFFFF"/>
                <w:sz w:val="18"/>
              </w:rPr>
              <w:t>指标 / Index</w:t>
            </w:r>
            <w:r>
              <w:rPr>
                <w:rFonts w:ascii="Times New Roman" w:hAnsi="Times New Roman" w:eastAsia="Times New Roman"/>
                <w:b/>
                <w:i/>
                <w:color w:val="DDDDDD"/>
                <w:sz w:val="17"/>
              </w:rPr>
              <w:br/>
              <w:t>Index</w:t>
            </w:r>
          </w:p>
        </w:tc>
        <w:tc>
          <w:tcPr>
            <w:tcW w:type="dxa" w:w="1984"/>
            <w:shd w:fill="1A237E"/>
            <w:vAlign w:val="center"/>
          </w:tcPr>
          <w:p>
            <w:pPr>
              <w:jc w:val="center"/>
            </w:pPr>
            <w:r>
              <w:rPr>
                <w:rFonts w:ascii="Microsoft YaHei" w:hAnsi="Microsoft YaHei" w:eastAsia="Microsoft YaHei"/>
                <w:b/>
                <w:color w:val="FFFFFF"/>
                <w:sz w:val="18"/>
              </w:rPr>
              <w:t>本期表现 / Performance</w:t>
            </w:r>
            <w:r>
              <w:rPr>
                <w:rFonts w:ascii="Times New Roman" w:hAnsi="Times New Roman" w:eastAsia="Times New Roman"/>
                <w:b/>
                <w:i/>
                <w:color w:val="DDDDDD"/>
                <w:sz w:val="17"/>
              </w:rPr>
              <w:br/>
              <w:t>Performance</w:t>
            </w:r>
          </w:p>
        </w:tc>
        <w:tc>
          <w:tcPr>
            <w:tcW w:type="dxa" w:w="1984"/>
            <w:shd w:fill="1A237E"/>
            <w:vAlign w:val="center"/>
          </w:tcPr>
          <w:p>
            <w:pPr>
              <w:jc w:val="center"/>
            </w:pPr>
            <w:r>
              <w:rPr>
                <w:rFonts w:ascii="Microsoft YaHei" w:hAnsi="Microsoft YaHei" w:eastAsia="Microsoft YaHei"/>
                <w:b/>
                <w:color w:val="FFFFFF"/>
                <w:sz w:val="18"/>
              </w:rPr>
              <w:t>周环比 / WoW Change</w:t>
            </w:r>
            <w:r>
              <w:rPr>
                <w:rFonts w:ascii="Times New Roman" w:hAnsi="Times New Roman" w:eastAsia="Times New Roman"/>
                <w:b/>
                <w:i/>
                <w:color w:val="DDDDDD"/>
                <w:sz w:val="17"/>
              </w:rPr>
              <w:br/>
              <w:t>WoW Change</w:t>
            </w:r>
          </w:p>
        </w:tc>
        <w:tc>
          <w:tcPr>
            <w:tcW w:type="dxa" w:w="3685"/>
            <w:shd w:fill="1A237E"/>
            <w:vAlign w:val="center"/>
          </w:tcPr>
          <w:p>
            <w:pPr>
              <w:jc w:val="center"/>
            </w:pPr>
            <w:r>
              <w:rPr>
                <w:rFonts w:ascii="Microsoft YaHei" w:hAnsi="Microsoft YaHei" w:eastAsia="Microsoft YaHei"/>
                <w:b/>
                <w:color w:val="FFFFFF"/>
                <w:sz w:val="18"/>
              </w:rPr>
              <w:t>点评 / Comment</w:t>
            </w:r>
            <w:r>
              <w:rPr>
                <w:rFonts w:ascii="Times New Roman" w:hAnsi="Times New Roman" w:eastAsia="Times New Roman"/>
                <w:b/>
                <w:i/>
                <w:color w:val="DDDDDD"/>
                <w:sz w:val="17"/>
              </w:rPr>
              <w:br/>
              <w:t>Comment</w:t>
            </w:r>
          </w:p>
        </w:tc>
      </w:tr>
      <w:tr>
        <w:tc>
          <w:tcPr>
            <w:tcW w:type="dxa" w:w="1701"/>
            <w:vAlign w:val="center"/>
          </w:tcPr>
          <w:p>
            <w:pPr>
              <w:jc w:val="left"/>
            </w:pPr>
            <w:r>
              <w:rPr>
                <w:rFonts w:ascii="Microsoft YaHei" w:hAnsi="Microsoft YaHei" w:eastAsia="Microsoft YaHei"/>
                <w:color w:val="222222"/>
                <w:sz w:val="18"/>
              </w:rPr>
              <w:t>SCFI综合指数</w:t>
            </w:r>
            <w:r>
              <w:rPr>
                <w:rFonts w:ascii="Times New Roman" w:hAnsi="Times New Roman" w:eastAsia="Times New Roman"/>
                <w:i/>
                <w:color w:val="666666"/>
                <w:sz w:val="17"/>
              </w:rPr>
              <w:br/>
              <w:t>SCFI Composite</w:t>
            </w:r>
          </w:p>
        </w:tc>
        <w:tc>
          <w:tcPr>
            <w:tcW w:type="dxa" w:w="1984"/>
            <w:vAlign w:val="center"/>
          </w:tcPr>
          <w:p>
            <w:pPr>
              <w:jc w:val="left"/>
            </w:pPr>
            <w:r>
              <w:rPr>
                <w:rFonts w:ascii="Microsoft YaHei" w:hAnsi="Microsoft YaHei" w:eastAsia="Microsoft YaHei"/>
                <w:color w:val="222222"/>
                <w:sz w:val="18"/>
              </w:rPr>
              <w:t>8月7日报3276.14点</w:t>
            </w:r>
            <w:r>
              <w:rPr>
                <w:rFonts w:ascii="Times New Roman" w:hAnsi="Times New Roman" w:eastAsia="Times New Roman"/>
                <w:i/>
                <w:color w:val="666666"/>
                <w:sz w:val="17"/>
              </w:rPr>
              <w:br/>
              <w:t>Aug 7 at 3276.14 pts</w:t>
            </w:r>
          </w:p>
        </w:tc>
        <w:tc>
          <w:tcPr>
            <w:tcW w:type="dxa" w:w="1984"/>
            <w:vAlign w:val="center"/>
          </w:tcPr>
          <w:p>
            <w:pPr>
              <w:jc w:val="left"/>
            </w:pPr>
            <w:r>
              <w:rPr>
                <w:rFonts w:ascii="Microsoft YaHei" w:hAnsi="Microsoft YaHei" w:eastAsia="Microsoft YaHei"/>
                <w:color w:val="222222"/>
                <w:sz w:val="18"/>
              </w:rPr>
              <w:t>上涨2.19%（+70.17点），连续两周反弹</w:t>
            </w:r>
            <w:r>
              <w:rPr>
                <w:rFonts w:ascii="Times New Roman" w:hAnsi="Times New Roman" w:eastAsia="Times New Roman"/>
                <w:i/>
                <w:color w:val="666666"/>
                <w:sz w:val="17"/>
              </w:rPr>
              <w:br/>
              <w:t>Up 2.19% (+70.17 pts), rising for 2nd week</w:t>
            </w:r>
          </w:p>
        </w:tc>
        <w:tc>
          <w:tcPr>
            <w:tcW w:type="dxa" w:w="3685"/>
            <w:vAlign w:val="center"/>
          </w:tcPr>
          <w:p>
            <w:pPr>
              <w:jc w:val="left"/>
            </w:pPr>
            <w:r>
              <w:rPr>
                <w:rFonts w:ascii="Microsoft YaHei" w:hAnsi="Microsoft YaHei" w:eastAsia="Microsoft YaHei"/>
                <w:color w:val="222222"/>
                <w:sz w:val="18"/>
              </w:rPr>
              <w:t>美线GRI落地+巴拿马运河限水+中东地缘风险三重共振；美线暴涨驱动指数上行，欧线延续淡季回调。</w:t>
            </w:r>
            <w:r>
              <w:rPr>
                <w:rFonts w:ascii="Times New Roman" w:hAnsi="Times New Roman" w:eastAsia="Times New Roman"/>
                <w:i/>
                <w:color w:val="666666"/>
                <w:sz w:val="17"/>
              </w:rPr>
              <w:br/>
              <w:t>Triple resonance of US-route GRI, Panama Canal draft limits and Middle East geopolitical risks; US routes surged while Europe continued seasonal correction.</w:t>
            </w:r>
          </w:p>
        </w:tc>
      </w:tr>
      <w:tr>
        <w:tc>
          <w:tcPr>
            <w:tcW w:type="dxa" w:w="1701"/>
            <w:vAlign w:val="center"/>
            <w:shd w:fill="F2F2F2"/>
          </w:tcPr>
          <w:p>
            <w:pPr>
              <w:jc w:val="left"/>
            </w:pPr>
            <w:r>
              <w:rPr>
                <w:rFonts w:ascii="Microsoft YaHei" w:hAnsi="Microsoft YaHei" w:eastAsia="Microsoft YaHei"/>
                <w:color w:val="222222"/>
                <w:sz w:val="18"/>
              </w:rPr>
              <w:t>CCFI综合指数</w:t>
            </w:r>
            <w:r>
              <w:rPr>
                <w:rFonts w:ascii="Times New Roman" w:hAnsi="Times New Roman" w:eastAsia="Times New Roman"/>
                <w:i/>
                <w:color w:val="666666"/>
                <w:sz w:val="17"/>
              </w:rPr>
              <w:br/>
              <w:t>CCFI Composite</w:t>
            </w:r>
          </w:p>
        </w:tc>
        <w:tc>
          <w:tcPr>
            <w:tcW w:type="dxa" w:w="1984"/>
            <w:vAlign w:val="center"/>
            <w:shd w:fill="F2F2F2"/>
          </w:tcPr>
          <w:p>
            <w:pPr>
              <w:jc w:val="left"/>
            </w:pPr>
            <w:r>
              <w:rPr>
                <w:rFonts w:ascii="Microsoft YaHei" w:hAnsi="Microsoft YaHei" w:eastAsia="Microsoft YaHei"/>
                <w:color w:val="222222"/>
                <w:sz w:val="18"/>
              </w:rPr>
              <w:t>8月7日报1839.61点</w:t>
            </w:r>
            <w:r>
              <w:rPr>
                <w:rFonts w:ascii="Times New Roman" w:hAnsi="Times New Roman" w:eastAsia="Times New Roman"/>
                <w:i/>
                <w:color w:val="666666"/>
                <w:sz w:val="17"/>
              </w:rPr>
              <w:br/>
              <w:t>Aug 7 at 1839.61 pts</w:t>
            </w:r>
          </w:p>
        </w:tc>
        <w:tc>
          <w:tcPr>
            <w:tcW w:type="dxa" w:w="1984"/>
            <w:vAlign w:val="center"/>
            <w:shd w:fill="F2F2F2"/>
          </w:tcPr>
          <w:p>
            <w:pPr>
              <w:jc w:val="left"/>
            </w:pPr>
            <w:r>
              <w:rPr>
                <w:rFonts w:ascii="Microsoft YaHei" w:hAnsi="Microsoft YaHei" w:eastAsia="Microsoft YaHei"/>
                <w:color w:val="222222"/>
                <w:sz w:val="18"/>
              </w:rPr>
              <w:t>下跌0.9%</w:t>
            </w:r>
            <w:r>
              <w:rPr>
                <w:rFonts w:ascii="Times New Roman" w:hAnsi="Times New Roman" w:eastAsia="Times New Roman"/>
                <w:i/>
                <w:color w:val="666666"/>
                <w:sz w:val="17"/>
              </w:rPr>
              <w:br/>
              <w:t>Down 0.9%</w:t>
            </w:r>
          </w:p>
        </w:tc>
        <w:tc>
          <w:tcPr>
            <w:tcW w:type="dxa" w:w="3685"/>
            <w:vAlign w:val="center"/>
            <w:shd w:fill="F2F2F2"/>
          </w:tcPr>
          <w:p>
            <w:pPr>
              <w:jc w:val="left"/>
            </w:pPr>
            <w:r>
              <w:rPr>
                <w:rFonts w:ascii="Microsoft YaHei" w:hAnsi="Microsoft YaHei" w:eastAsia="Microsoft YaHei"/>
                <w:color w:val="222222"/>
                <w:sz w:val="18"/>
              </w:rPr>
              <w:t>滞后反映前期运价走势，美西线跌6.1%拖累最大；欧线运力恢复施压。</w:t>
            </w:r>
            <w:r>
              <w:rPr>
                <w:rFonts w:ascii="Times New Roman" w:hAnsi="Times New Roman" w:eastAsia="Times New Roman"/>
                <w:i/>
                <w:color w:val="666666"/>
                <w:sz w:val="17"/>
              </w:rPr>
              <w:br/>
              <w:t>Lagging indicator; USWC down 6.1% was the largest drag; Europe capacity recovery pressuring rates.</w:t>
            </w:r>
          </w:p>
        </w:tc>
      </w:tr>
      <w:tr>
        <w:tc>
          <w:tcPr>
            <w:tcW w:type="dxa" w:w="1701"/>
            <w:vAlign w:val="center"/>
          </w:tcPr>
          <w:p>
            <w:pPr>
              <w:jc w:val="left"/>
            </w:pPr>
            <w:r>
              <w:rPr>
                <w:rFonts w:ascii="Microsoft YaHei" w:hAnsi="Microsoft YaHei" w:eastAsia="Microsoft YaHei"/>
                <w:color w:val="222222"/>
                <w:sz w:val="18"/>
              </w:rPr>
              <w:t>欧洲航线</w:t>
            </w:r>
            <w:r>
              <w:rPr>
                <w:rFonts w:ascii="Times New Roman" w:hAnsi="Times New Roman" w:eastAsia="Times New Roman"/>
                <w:i/>
                <w:color w:val="666666"/>
                <w:sz w:val="17"/>
              </w:rPr>
              <w:br/>
              <w:t>Europe route</w:t>
            </w:r>
          </w:p>
        </w:tc>
        <w:tc>
          <w:tcPr>
            <w:tcW w:type="dxa" w:w="1984"/>
            <w:vAlign w:val="center"/>
          </w:tcPr>
          <w:p>
            <w:pPr>
              <w:jc w:val="left"/>
            </w:pPr>
            <w:r>
              <w:rPr>
                <w:rFonts w:ascii="Microsoft YaHei" w:hAnsi="Microsoft YaHei" w:eastAsia="Microsoft YaHei"/>
                <w:color w:val="222222"/>
                <w:sz w:val="18"/>
              </w:rPr>
              <w:t>每TEU 2964美元</w:t>
            </w:r>
            <w:r>
              <w:rPr>
                <w:rFonts w:ascii="Times New Roman" w:hAnsi="Times New Roman" w:eastAsia="Times New Roman"/>
                <w:i/>
                <w:color w:val="666666"/>
                <w:sz w:val="17"/>
              </w:rPr>
              <w:br/>
              <w:t>USD 2,964/TEU</w:t>
            </w:r>
          </w:p>
        </w:tc>
        <w:tc>
          <w:tcPr>
            <w:tcW w:type="dxa" w:w="1984"/>
            <w:vAlign w:val="center"/>
          </w:tcPr>
          <w:p>
            <w:pPr>
              <w:jc w:val="left"/>
            </w:pPr>
            <w:r>
              <w:rPr>
                <w:rFonts w:ascii="Microsoft YaHei" w:hAnsi="Microsoft YaHei" w:eastAsia="Microsoft YaHei"/>
                <w:color w:val="222222"/>
                <w:sz w:val="18"/>
              </w:rPr>
              <w:t>下跌2.46%（-75美元）</w:t>
            </w:r>
            <w:r>
              <w:rPr>
                <w:rFonts w:ascii="Times New Roman" w:hAnsi="Times New Roman" w:eastAsia="Times New Roman"/>
                <w:i/>
                <w:color w:val="666666"/>
                <w:sz w:val="17"/>
              </w:rPr>
              <w:br/>
              <w:t>Down 2.46% (-USD 75)</w:t>
            </w:r>
          </w:p>
        </w:tc>
        <w:tc>
          <w:tcPr>
            <w:tcW w:type="dxa" w:w="3685"/>
            <w:vAlign w:val="center"/>
          </w:tcPr>
          <w:p>
            <w:pPr>
              <w:jc w:val="left"/>
            </w:pPr>
            <w:r>
              <w:rPr>
                <w:rFonts w:ascii="Microsoft YaHei" w:hAnsi="Microsoft YaHei" w:eastAsia="Microsoft YaHei"/>
                <w:color w:val="222222"/>
                <w:sz w:val="18"/>
              </w:rPr>
              <w:t>连续第五周回调；8月下旬船司报价降至4450美元/FEU，实际揽货价约4100美元/FEU。</w:t>
            </w:r>
            <w:r>
              <w:rPr>
                <w:rFonts w:ascii="Times New Roman" w:hAnsi="Times New Roman" w:eastAsia="Times New Roman"/>
                <w:i/>
                <w:color w:val="666666"/>
                <w:sz w:val="17"/>
              </w:rPr>
              <w:br/>
              <w:t>Fifth consecutive weekly decline; late-Aug carrier quotes lowered to USD 4,450/FEU, actual booking ~USD 4,100/FEU.</w:t>
            </w:r>
          </w:p>
        </w:tc>
      </w:tr>
      <w:tr>
        <w:tc>
          <w:tcPr>
            <w:tcW w:type="dxa" w:w="1701"/>
            <w:vAlign w:val="center"/>
            <w:shd w:fill="F2F2F2"/>
          </w:tcPr>
          <w:p>
            <w:pPr>
              <w:jc w:val="left"/>
            </w:pPr>
            <w:r>
              <w:rPr>
                <w:rFonts w:ascii="Microsoft YaHei" w:hAnsi="Microsoft YaHei" w:eastAsia="Microsoft YaHei"/>
                <w:color w:val="222222"/>
                <w:sz w:val="18"/>
              </w:rPr>
              <w:t>地中海航线</w:t>
            </w:r>
            <w:r>
              <w:rPr>
                <w:rFonts w:ascii="Times New Roman" w:hAnsi="Times New Roman" w:eastAsia="Times New Roman"/>
                <w:i/>
                <w:color w:val="666666"/>
                <w:sz w:val="17"/>
              </w:rPr>
              <w:br/>
              <w:t>Mediterranean route</w:t>
            </w:r>
          </w:p>
        </w:tc>
        <w:tc>
          <w:tcPr>
            <w:tcW w:type="dxa" w:w="1984"/>
            <w:vAlign w:val="center"/>
            <w:shd w:fill="F2F2F2"/>
          </w:tcPr>
          <w:p>
            <w:pPr>
              <w:jc w:val="left"/>
            </w:pPr>
            <w:r>
              <w:rPr>
                <w:rFonts w:ascii="Microsoft YaHei" w:hAnsi="Microsoft YaHei" w:eastAsia="Microsoft YaHei"/>
                <w:color w:val="222222"/>
                <w:sz w:val="18"/>
              </w:rPr>
              <w:t>每TEU 4048美元</w:t>
            </w:r>
            <w:r>
              <w:rPr>
                <w:rFonts w:ascii="Times New Roman" w:hAnsi="Times New Roman" w:eastAsia="Times New Roman"/>
                <w:i/>
                <w:color w:val="666666"/>
                <w:sz w:val="17"/>
              </w:rPr>
              <w:br/>
              <w:t>USD 4,048/TEU</w:t>
            </w:r>
          </w:p>
        </w:tc>
        <w:tc>
          <w:tcPr>
            <w:tcW w:type="dxa" w:w="1984"/>
            <w:vAlign w:val="center"/>
            <w:shd w:fill="F2F2F2"/>
          </w:tcPr>
          <w:p>
            <w:pPr>
              <w:jc w:val="left"/>
            </w:pPr>
            <w:r>
              <w:rPr>
                <w:rFonts w:ascii="Microsoft YaHei" w:hAnsi="Microsoft YaHei" w:eastAsia="Microsoft YaHei"/>
                <w:color w:val="222222"/>
                <w:sz w:val="18"/>
              </w:rPr>
              <w:t>下跌3.36%（-141美元）</w:t>
            </w:r>
            <w:r>
              <w:rPr>
                <w:rFonts w:ascii="Times New Roman" w:hAnsi="Times New Roman" w:eastAsia="Times New Roman"/>
                <w:i/>
                <w:color w:val="666666"/>
                <w:sz w:val="17"/>
              </w:rPr>
              <w:br/>
              <w:t>Down 3.36% (-USD 141)</w:t>
            </w:r>
          </w:p>
        </w:tc>
        <w:tc>
          <w:tcPr>
            <w:tcW w:type="dxa" w:w="3685"/>
            <w:vAlign w:val="center"/>
            <w:shd w:fill="F2F2F2"/>
          </w:tcPr>
          <w:p>
            <w:pPr>
              <w:jc w:val="left"/>
            </w:pPr>
            <w:r>
              <w:rPr>
                <w:rFonts w:ascii="Microsoft YaHei" w:hAnsi="Microsoft YaHei" w:eastAsia="Microsoft YaHei"/>
                <w:color w:val="222222"/>
                <w:sz w:val="18"/>
              </w:rPr>
              <w:t>南欧港口拥堵边际缓解，运力恢复快于需求，跌幅大于欧线。</w:t>
            </w:r>
            <w:r>
              <w:rPr>
                <w:rFonts w:ascii="Times New Roman" w:hAnsi="Times New Roman" w:eastAsia="Times New Roman"/>
                <w:i/>
                <w:color w:val="666666"/>
                <w:sz w:val="17"/>
              </w:rPr>
              <w:br/>
              <w:t>Southern Europe port congestion eased; capacity recovering faster than demand; decline larger than Europe route.</w:t>
            </w:r>
          </w:p>
        </w:tc>
      </w:tr>
      <w:tr>
        <w:tc>
          <w:tcPr>
            <w:tcW w:type="dxa" w:w="1701"/>
            <w:vAlign w:val="center"/>
          </w:tcPr>
          <w:p>
            <w:pPr>
              <w:jc w:val="left"/>
            </w:pPr>
            <w:r>
              <w:rPr>
                <w:rFonts w:ascii="Microsoft YaHei" w:hAnsi="Microsoft YaHei" w:eastAsia="Microsoft YaHei"/>
                <w:color w:val="222222"/>
                <w:sz w:val="18"/>
              </w:rPr>
              <w:t>美西航线</w:t>
            </w:r>
            <w:r>
              <w:rPr>
                <w:rFonts w:ascii="Times New Roman" w:hAnsi="Times New Roman" w:eastAsia="Times New Roman"/>
                <w:i/>
                <w:color w:val="666666"/>
                <w:sz w:val="17"/>
              </w:rPr>
              <w:br/>
              <w:t>USWC route</w:t>
            </w:r>
          </w:p>
        </w:tc>
        <w:tc>
          <w:tcPr>
            <w:tcW w:type="dxa" w:w="1984"/>
            <w:vAlign w:val="center"/>
          </w:tcPr>
          <w:p>
            <w:pPr>
              <w:jc w:val="left"/>
            </w:pPr>
            <w:r>
              <w:rPr>
                <w:rFonts w:ascii="Microsoft YaHei" w:hAnsi="Microsoft YaHei" w:eastAsia="Microsoft YaHei"/>
                <w:color w:val="222222"/>
                <w:sz w:val="18"/>
              </w:rPr>
              <w:t>每FEU 6484美元</w:t>
            </w:r>
            <w:r>
              <w:rPr>
                <w:rFonts w:ascii="Times New Roman" w:hAnsi="Times New Roman" w:eastAsia="Times New Roman"/>
                <w:i/>
                <w:color w:val="666666"/>
                <w:sz w:val="17"/>
              </w:rPr>
              <w:br/>
              <w:t>USD 6,484/FEU</w:t>
            </w:r>
          </w:p>
        </w:tc>
        <w:tc>
          <w:tcPr>
            <w:tcW w:type="dxa" w:w="1984"/>
            <w:vAlign w:val="center"/>
          </w:tcPr>
          <w:p>
            <w:pPr>
              <w:jc w:val="left"/>
            </w:pPr>
            <w:r>
              <w:rPr>
                <w:rFonts w:ascii="Microsoft YaHei" w:hAnsi="Microsoft YaHei" w:eastAsia="Microsoft YaHei"/>
                <w:color w:val="222222"/>
                <w:sz w:val="18"/>
              </w:rPr>
              <w:t>上涨4.09%（+255美元）</w:t>
            </w:r>
            <w:r>
              <w:rPr>
                <w:rFonts w:ascii="Times New Roman" w:hAnsi="Times New Roman" w:eastAsia="Times New Roman"/>
                <w:i/>
                <w:color w:val="666666"/>
                <w:sz w:val="17"/>
              </w:rPr>
              <w:br/>
              <w:t>Up 4.09% (+USD 255)</w:t>
            </w:r>
          </w:p>
        </w:tc>
        <w:tc>
          <w:tcPr>
            <w:tcW w:type="dxa" w:w="3685"/>
            <w:vAlign w:val="center"/>
          </w:tcPr>
          <w:p>
            <w:pPr>
              <w:jc w:val="left"/>
            </w:pPr>
            <w:r>
              <w:rPr>
                <w:rFonts w:ascii="Microsoft YaHei" w:hAnsi="Microsoft YaHei" w:eastAsia="Microsoft YaHei"/>
                <w:color w:val="222222"/>
                <w:sz w:val="18"/>
              </w:rPr>
              <w:t>8月返校季货量推动+巴拿马运河8月15日再降吃水+船司空班调控运力；达飞8/15目标价提至8000美元/FEU。</w:t>
            </w:r>
            <w:r>
              <w:rPr>
                <w:rFonts w:ascii="Times New Roman" w:hAnsi="Times New Roman" w:eastAsia="Times New Roman"/>
                <w:i/>
                <w:color w:val="666666"/>
                <w:sz w:val="17"/>
              </w:rPr>
              <w:br/>
              <w:t>Back-to-school season demand + Panama Canal draft cut Aug 15 + carrier blank sailings; CMA CGM Aug 15 target USD 8,000/FEU.</w:t>
            </w:r>
          </w:p>
        </w:tc>
      </w:tr>
      <w:tr>
        <w:tc>
          <w:tcPr>
            <w:tcW w:type="dxa" w:w="1701"/>
            <w:vAlign w:val="center"/>
            <w:shd w:fill="F2F2F2"/>
          </w:tcPr>
          <w:p>
            <w:pPr>
              <w:jc w:val="left"/>
            </w:pPr>
            <w:r>
              <w:rPr>
                <w:rFonts w:ascii="Microsoft YaHei" w:hAnsi="Microsoft YaHei" w:eastAsia="Microsoft YaHei"/>
                <w:color w:val="222222"/>
                <w:sz w:val="18"/>
              </w:rPr>
              <w:t>美东航线</w:t>
            </w:r>
            <w:r>
              <w:rPr>
                <w:rFonts w:ascii="Times New Roman" w:hAnsi="Times New Roman" w:eastAsia="Times New Roman"/>
                <w:i/>
                <w:color w:val="666666"/>
                <w:sz w:val="17"/>
              </w:rPr>
              <w:br/>
              <w:t>USEC route</w:t>
            </w:r>
          </w:p>
        </w:tc>
        <w:tc>
          <w:tcPr>
            <w:tcW w:type="dxa" w:w="1984"/>
            <w:vAlign w:val="center"/>
            <w:shd w:fill="F2F2F2"/>
          </w:tcPr>
          <w:p>
            <w:pPr>
              <w:jc w:val="left"/>
            </w:pPr>
            <w:r>
              <w:rPr>
                <w:rFonts w:ascii="Microsoft YaHei" w:hAnsi="Microsoft YaHei" w:eastAsia="Microsoft YaHei"/>
                <w:color w:val="222222"/>
                <w:sz w:val="18"/>
              </w:rPr>
              <w:t>每FEU 9290美元</w:t>
            </w:r>
            <w:r>
              <w:rPr>
                <w:rFonts w:ascii="Times New Roman" w:hAnsi="Times New Roman" w:eastAsia="Times New Roman"/>
                <w:i/>
                <w:color w:val="666666"/>
                <w:sz w:val="17"/>
              </w:rPr>
              <w:br/>
              <w:t>USD 9,290/FEU</w:t>
            </w:r>
          </w:p>
        </w:tc>
        <w:tc>
          <w:tcPr>
            <w:tcW w:type="dxa" w:w="1984"/>
            <w:vAlign w:val="center"/>
            <w:shd w:fill="F2F2F2"/>
          </w:tcPr>
          <w:p>
            <w:pPr>
              <w:jc w:val="left"/>
            </w:pPr>
            <w:r>
              <w:rPr>
                <w:rFonts w:ascii="Microsoft YaHei" w:hAnsi="Microsoft YaHei" w:eastAsia="Microsoft YaHei"/>
                <w:color w:val="222222"/>
                <w:sz w:val="18"/>
              </w:rPr>
              <w:t>上涨2.61%（+236美元）</w:t>
            </w:r>
            <w:r>
              <w:rPr>
                <w:rFonts w:ascii="Times New Roman" w:hAnsi="Times New Roman" w:eastAsia="Times New Roman"/>
                <w:i/>
                <w:color w:val="666666"/>
                <w:sz w:val="17"/>
              </w:rPr>
              <w:br/>
              <w:t>Up 2.61% (+USD 236)</w:t>
            </w:r>
          </w:p>
        </w:tc>
        <w:tc>
          <w:tcPr>
            <w:tcW w:type="dxa" w:w="3685"/>
            <w:vAlign w:val="center"/>
            <w:shd w:fill="F2F2F2"/>
          </w:tcPr>
          <w:p>
            <w:pPr>
              <w:jc w:val="left"/>
            </w:pPr>
            <w:r>
              <w:rPr>
                <w:rFonts w:ascii="Microsoft YaHei" w:hAnsi="Microsoft YaHei" w:eastAsia="Microsoft YaHei"/>
                <w:color w:val="222222"/>
                <w:sz w:val="18"/>
              </w:rPr>
              <w:t>美东-美西价差扩大至2806美元；达飞8/15目标价提至11200美元/FEU；现货成交价普遍8700美元以上。</w:t>
            </w:r>
            <w:r>
              <w:rPr>
                <w:rFonts w:ascii="Times New Roman" w:hAnsi="Times New Roman" w:eastAsia="Times New Roman"/>
                <w:i/>
                <w:color w:val="666666"/>
                <w:sz w:val="17"/>
              </w:rPr>
              <w:br/>
              <w:t>USEC-USWC spread widened to USD 2,806; CMA CGM Aug 15 target USD 11,200/FEU; spot deals generally above USD 8,700.</w:t>
            </w:r>
          </w:p>
        </w:tc>
      </w:tr>
      <w:tr>
        <w:tc>
          <w:tcPr>
            <w:tcW w:type="dxa" w:w="1701"/>
            <w:vAlign w:val="center"/>
          </w:tcPr>
          <w:p>
            <w:pPr>
              <w:jc w:val="left"/>
            </w:pPr>
            <w:r>
              <w:rPr>
                <w:rFonts w:ascii="Microsoft YaHei" w:hAnsi="Microsoft YaHei" w:eastAsia="Microsoft YaHei"/>
                <w:color w:val="222222"/>
                <w:sz w:val="18"/>
              </w:rPr>
              <w:t>波斯湾航线</w:t>
            </w:r>
            <w:r>
              <w:rPr>
                <w:rFonts w:ascii="Times New Roman" w:hAnsi="Times New Roman" w:eastAsia="Times New Roman"/>
                <w:i/>
                <w:color w:val="666666"/>
                <w:sz w:val="17"/>
              </w:rPr>
              <w:br/>
              <w:t>Persian Gulf route</w:t>
            </w:r>
          </w:p>
        </w:tc>
        <w:tc>
          <w:tcPr>
            <w:tcW w:type="dxa" w:w="1984"/>
            <w:vAlign w:val="center"/>
          </w:tcPr>
          <w:p>
            <w:pPr>
              <w:jc w:val="left"/>
            </w:pPr>
            <w:r>
              <w:rPr>
                <w:rFonts w:ascii="Microsoft YaHei" w:hAnsi="Microsoft YaHei" w:eastAsia="Microsoft YaHei"/>
                <w:color w:val="222222"/>
                <w:sz w:val="18"/>
              </w:rPr>
              <w:t>每TEU 5258美元</w:t>
            </w:r>
            <w:r>
              <w:rPr>
                <w:rFonts w:ascii="Times New Roman" w:hAnsi="Times New Roman" w:eastAsia="Times New Roman"/>
                <w:i/>
                <w:color w:val="666666"/>
                <w:sz w:val="17"/>
              </w:rPr>
              <w:br/>
              <w:t>USD 5,258/TEU</w:t>
            </w:r>
          </w:p>
        </w:tc>
        <w:tc>
          <w:tcPr>
            <w:tcW w:type="dxa" w:w="1984"/>
            <w:vAlign w:val="center"/>
          </w:tcPr>
          <w:p>
            <w:pPr>
              <w:jc w:val="left"/>
            </w:pPr>
            <w:r>
              <w:rPr>
                <w:rFonts w:ascii="Microsoft YaHei" w:hAnsi="Microsoft YaHei" w:eastAsia="Microsoft YaHei"/>
                <w:color w:val="222222"/>
                <w:sz w:val="18"/>
              </w:rPr>
              <w:t>大涨7.44%（+364美元）</w:t>
            </w:r>
            <w:r>
              <w:rPr>
                <w:rFonts w:ascii="Times New Roman" w:hAnsi="Times New Roman" w:eastAsia="Times New Roman"/>
                <w:i/>
                <w:color w:val="666666"/>
                <w:sz w:val="17"/>
              </w:rPr>
              <w:br/>
              <w:t>Surged 7.44% (+USD 364)</w:t>
            </w:r>
          </w:p>
        </w:tc>
        <w:tc>
          <w:tcPr>
            <w:tcW w:type="dxa" w:w="3685"/>
            <w:vAlign w:val="center"/>
          </w:tcPr>
          <w:p>
            <w:pPr>
              <w:jc w:val="left"/>
            </w:pPr>
            <w:r>
              <w:rPr>
                <w:rFonts w:ascii="Microsoft YaHei" w:hAnsi="Microsoft YaHei" w:eastAsia="Microsoft YaHei"/>
                <w:color w:val="222222"/>
                <w:sz w:val="18"/>
              </w:rPr>
              <w:t>霍尔木兹海峡通航持续低迷+美伊谈判陷入僵局，航线风险溢价持续攀升。</w:t>
            </w:r>
            <w:r>
              <w:rPr>
                <w:rFonts w:ascii="Times New Roman" w:hAnsi="Times New Roman" w:eastAsia="Times New Roman"/>
                <w:i/>
                <w:color w:val="666666"/>
                <w:sz w:val="17"/>
              </w:rPr>
              <w:br/>
              <w:t>Low Hormuz transits + stalled U.S.-Iran talks drove risk premiums higher.</w:t>
            </w:r>
          </w:p>
        </w:tc>
      </w:tr>
      <w:tr>
        <w:tc>
          <w:tcPr>
            <w:tcW w:type="dxa" w:w="1701"/>
            <w:vAlign w:val="center"/>
            <w:shd w:fill="F2F2F2"/>
          </w:tcPr>
          <w:p>
            <w:pPr>
              <w:jc w:val="left"/>
            </w:pPr>
            <w:r>
              <w:rPr>
                <w:rFonts w:ascii="Microsoft YaHei" w:hAnsi="Microsoft YaHei" w:eastAsia="Microsoft YaHei"/>
                <w:color w:val="222222"/>
                <w:sz w:val="18"/>
              </w:rPr>
              <w:t>南美航线</w:t>
            </w:r>
            <w:r>
              <w:rPr>
                <w:rFonts w:ascii="Times New Roman" w:hAnsi="Times New Roman" w:eastAsia="Times New Roman"/>
                <w:i/>
                <w:color w:val="666666"/>
                <w:sz w:val="17"/>
              </w:rPr>
              <w:br/>
              <w:t>South America route</w:t>
            </w:r>
          </w:p>
        </w:tc>
        <w:tc>
          <w:tcPr>
            <w:tcW w:type="dxa" w:w="1984"/>
            <w:vAlign w:val="center"/>
            <w:shd w:fill="F2F2F2"/>
          </w:tcPr>
          <w:p>
            <w:pPr>
              <w:jc w:val="left"/>
            </w:pPr>
            <w:r>
              <w:rPr>
                <w:rFonts w:ascii="Microsoft YaHei" w:hAnsi="Microsoft YaHei" w:eastAsia="Microsoft YaHei"/>
                <w:color w:val="222222"/>
                <w:sz w:val="18"/>
              </w:rPr>
              <w:t>每TEU 6238美元</w:t>
            </w:r>
            <w:r>
              <w:rPr>
                <w:rFonts w:ascii="Times New Roman" w:hAnsi="Times New Roman" w:eastAsia="Times New Roman"/>
                <w:i/>
                <w:color w:val="666666"/>
                <w:sz w:val="17"/>
              </w:rPr>
              <w:br/>
              <w:t>USD 6,238/TEU</w:t>
            </w:r>
          </w:p>
        </w:tc>
        <w:tc>
          <w:tcPr>
            <w:tcW w:type="dxa" w:w="1984"/>
            <w:vAlign w:val="center"/>
            <w:shd w:fill="F2F2F2"/>
          </w:tcPr>
          <w:p>
            <w:pPr>
              <w:jc w:val="left"/>
            </w:pPr>
            <w:r>
              <w:rPr>
                <w:rFonts w:ascii="Microsoft YaHei" w:hAnsi="Microsoft YaHei" w:eastAsia="Microsoft YaHei"/>
                <w:color w:val="222222"/>
                <w:sz w:val="18"/>
              </w:rPr>
              <w:t>大涨8.87%（+508美元）</w:t>
            </w:r>
            <w:r>
              <w:rPr>
                <w:rFonts w:ascii="Times New Roman" w:hAnsi="Times New Roman" w:eastAsia="Times New Roman"/>
                <w:i/>
                <w:color w:val="666666"/>
                <w:sz w:val="17"/>
              </w:rPr>
              <w:br/>
              <w:t>Surged 8.87% (+USD 508)</w:t>
            </w:r>
          </w:p>
        </w:tc>
        <w:tc>
          <w:tcPr>
            <w:tcW w:type="dxa" w:w="3685"/>
            <w:vAlign w:val="center"/>
            <w:shd w:fill="F2F2F2"/>
          </w:tcPr>
          <w:p>
            <w:pPr>
              <w:jc w:val="left"/>
            </w:pPr>
            <w:r>
              <w:rPr>
                <w:rFonts w:ascii="Microsoft YaHei" w:hAnsi="Microsoft YaHei" w:eastAsia="Microsoft YaHei"/>
                <w:color w:val="222222"/>
                <w:sz w:val="18"/>
              </w:rPr>
              <w:t>南美东海岸运输需求回暖，叠加部分运力转调美线，运价涨幅居各航线之首。</w:t>
            </w:r>
            <w:r>
              <w:rPr>
                <w:rFonts w:ascii="Times New Roman" w:hAnsi="Times New Roman" w:eastAsia="Times New Roman"/>
                <w:i/>
                <w:color w:val="666666"/>
                <w:sz w:val="17"/>
              </w:rPr>
              <w:br/>
              <w:t>East Coast South America demand recovered; some capacity shifted to US routes; largest increase among all routes.</w:t>
            </w:r>
          </w:p>
        </w:tc>
      </w:tr>
    </w:tbl>
    <w:p/>
    <w:p>
      <w:pPr>
        <w:spacing w:before="240" w:after="80"/>
      </w:pPr>
      <w:r>
        <w:rPr>
          <w:rFonts w:ascii="Microsoft YaHei" w:hAnsi="Microsoft YaHei" w:eastAsia="Microsoft YaHei"/>
          <w:b/>
          <w:color w:val="C00000"/>
          <w:sz w:val="24"/>
        </w:rPr>
        <w:t>3.2 干散货运价 Dry Bulk Freight</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984"/>
            <w:shd w:fill="1A237E"/>
            <w:vAlign w:val="center"/>
          </w:tcPr>
          <w:p>
            <w:pPr>
              <w:jc w:val="center"/>
            </w:pPr>
            <w:r>
              <w:rPr>
                <w:rFonts w:ascii="Microsoft YaHei" w:hAnsi="Microsoft YaHei" w:eastAsia="Microsoft YaHei"/>
                <w:b/>
                <w:color w:val="FFFFFF"/>
                <w:sz w:val="18"/>
              </w:rPr>
              <w:t>指标 / Index</w:t>
            </w:r>
            <w:r>
              <w:rPr>
                <w:rFonts w:ascii="Times New Roman" w:hAnsi="Times New Roman" w:eastAsia="Times New Roman"/>
                <w:b/>
                <w:i/>
                <w:color w:val="DDDDDD"/>
                <w:sz w:val="17"/>
              </w:rPr>
              <w:br/>
              <w:t>Index</w:t>
            </w:r>
          </w:p>
        </w:tc>
        <w:tc>
          <w:tcPr>
            <w:tcW w:type="dxa" w:w="1701"/>
            <w:shd w:fill="1A237E"/>
            <w:vAlign w:val="center"/>
          </w:tcPr>
          <w:p>
            <w:pPr>
              <w:jc w:val="center"/>
            </w:pPr>
            <w:r>
              <w:rPr>
                <w:rFonts w:ascii="Microsoft YaHei" w:hAnsi="Microsoft YaHei" w:eastAsia="Microsoft YaHei"/>
                <w:b/>
                <w:color w:val="FFFFFF"/>
                <w:sz w:val="18"/>
              </w:rPr>
              <w:t>8月10日/最新</w:t>
            </w:r>
            <w:r>
              <w:rPr>
                <w:rFonts w:ascii="Times New Roman" w:hAnsi="Times New Roman" w:eastAsia="Times New Roman"/>
                <w:b/>
                <w:i/>
                <w:color w:val="DDDDDD"/>
                <w:sz w:val="17"/>
              </w:rPr>
              <w:br/>
              <w:t>Latest (Aug 10)</w:t>
            </w:r>
          </w:p>
        </w:tc>
        <w:tc>
          <w:tcPr>
            <w:tcW w:type="dxa" w:w="1701"/>
            <w:shd w:fill="1A237E"/>
            <w:vAlign w:val="center"/>
          </w:tcPr>
          <w:p>
            <w:pPr>
              <w:jc w:val="center"/>
            </w:pPr>
            <w:r>
              <w:rPr>
                <w:rFonts w:ascii="Microsoft YaHei" w:hAnsi="Microsoft YaHei" w:eastAsia="Microsoft YaHei"/>
                <w:b/>
                <w:color w:val="FFFFFF"/>
                <w:sz w:val="18"/>
              </w:rPr>
              <w:t>周环比 / WoW</w:t>
            </w:r>
            <w:r>
              <w:rPr>
                <w:rFonts w:ascii="Times New Roman" w:hAnsi="Times New Roman" w:eastAsia="Times New Roman"/>
                <w:b/>
                <w:i/>
                <w:color w:val="DDDDDD"/>
                <w:sz w:val="17"/>
              </w:rPr>
              <w:br/>
              <w:t>WoW</w:t>
            </w:r>
          </w:p>
        </w:tc>
        <w:tc>
          <w:tcPr>
            <w:tcW w:type="dxa" w:w="3969"/>
            <w:shd w:fill="1A237E"/>
            <w:vAlign w:val="center"/>
          </w:tcPr>
          <w:p>
            <w:pPr>
              <w:jc w:val="center"/>
            </w:pPr>
            <w:r>
              <w:rPr>
                <w:rFonts w:ascii="Microsoft YaHei" w:hAnsi="Microsoft YaHei" w:eastAsia="Microsoft YaHei"/>
                <w:b/>
                <w:color w:val="FFFFFF"/>
                <w:sz w:val="18"/>
              </w:rPr>
              <w:t>点评 / Comment</w:t>
            </w:r>
            <w:r>
              <w:rPr>
                <w:rFonts w:ascii="Times New Roman" w:hAnsi="Times New Roman" w:eastAsia="Times New Roman"/>
                <w:b/>
                <w:i/>
                <w:color w:val="DDDDDD"/>
                <w:sz w:val="17"/>
              </w:rPr>
              <w:br/>
              <w:t>Comment</w:t>
            </w:r>
          </w:p>
        </w:tc>
      </w:tr>
      <w:tr>
        <w:tc>
          <w:tcPr>
            <w:tcW w:type="dxa" w:w="1984"/>
            <w:vAlign w:val="center"/>
          </w:tcPr>
          <w:p>
            <w:pPr>
              <w:jc w:val="left"/>
            </w:pPr>
            <w:r>
              <w:rPr>
                <w:rFonts w:ascii="Microsoft YaHei" w:hAnsi="Microsoft YaHei" w:eastAsia="Microsoft YaHei"/>
                <w:color w:val="222222"/>
                <w:sz w:val="18"/>
              </w:rPr>
              <w:t>BDI波罗的海干散货指数</w:t>
            </w:r>
            <w:r>
              <w:rPr>
                <w:rFonts w:ascii="Times New Roman" w:hAnsi="Times New Roman" w:eastAsia="Times New Roman"/>
                <w:i/>
                <w:color w:val="666666"/>
                <w:sz w:val="17"/>
              </w:rPr>
              <w:br/>
              <w:t>Baltic Dry Index (BDI)</w:t>
            </w:r>
          </w:p>
        </w:tc>
        <w:tc>
          <w:tcPr>
            <w:tcW w:type="dxa" w:w="1701"/>
            <w:vAlign w:val="center"/>
          </w:tcPr>
          <w:p>
            <w:pPr>
              <w:jc w:val="left"/>
            </w:pPr>
            <w:r>
              <w:rPr>
                <w:rFonts w:ascii="Microsoft YaHei" w:hAnsi="Microsoft YaHei" w:eastAsia="Microsoft YaHei"/>
                <w:color w:val="222222"/>
                <w:sz w:val="18"/>
              </w:rPr>
              <w:t>3083点</w:t>
            </w:r>
            <w:r>
              <w:rPr>
                <w:rFonts w:ascii="Times New Roman" w:hAnsi="Times New Roman" w:eastAsia="Times New Roman"/>
                <w:i/>
                <w:color w:val="666666"/>
                <w:sz w:val="17"/>
              </w:rPr>
              <w:br/>
              <w:t>3083 pts</w:t>
            </w:r>
          </w:p>
        </w:tc>
        <w:tc>
          <w:tcPr>
            <w:tcW w:type="dxa" w:w="1701"/>
            <w:vAlign w:val="center"/>
          </w:tcPr>
          <w:p>
            <w:pPr>
              <w:jc w:val="left"/>
            </w:pPr>
            <w:r>
              <w:rPr>
                <w:rFonts w:ascii="Microsoft YaHei" w:hAnsi="Microsoft YaHei" w:eastAsia="Microsoft YaHei"/>
                <w:color w:val="222222"/>
                <w:sz w:val="18"/>
              </w:rPr>
              <w:t>周线大涨13.1%，创6月3日以来新高</w:t>
            </w:r>
            <w:r>
              <w:rPr>
                <w:rFonts w:ascii="Times New Roman" w:hAnsi="Times New Roman" w:eastAsia="Times New Roman"/>
                <w:i/>
                <w:color w:val="666666"/>
                <w:sz w:val="17"/>
              </w:rPr>
              <w:br/>
              <w:t>Up 13.1% for the week, highest since Jun 3</w:t>
            </w:r>
          </w:p>
        </w:tc>
        <w:tc>
          <w:tcPr>
            <w:tcW w:type="dxa" w:w="3969"/>
            <w:vAlign w:val="center"/>
          </w:tcPr>
          <w:p>
            <w:pPr>
              <w:jc w:val="left"/>
            </w:pPr>
            <w:r>
              <w:rPr>
                <w:rFonts w:ascii="Microsoft YaHei" w:hAnsi="Microsoft YaHei" w:eastAsia="Microsoft YaHei"/>
                <w:color w:val="222222"/>
                <w:sz w:val="18"/>
              </w:rPr>
              <w:t>8月5日单日暴涨4.3%触及两月高位；矿商抢舱、铁矿发运回升驱动；8月10日小幅回落6点。</w:t>
            </w:r>
            <w:r>
              <w:rPr>
                <w:rFonts w:ascii="Times New Roman" w:hAnsi="Times New Roman" w:eastAsia="Times New Roman"/>
                <w:i/>
                <w:color w:val="666666"/>
                <w:sz w:val="17"/>
              </w:rPr>
              <w:br/>
              <w:t>Surged 4.3% on Aug 5 to two-month high; miner front-loading and iron ore shipping recovery drove gains; eased 6 pts on Aug 10.</w:t>
            </w:r>
          </w:p>
        </w:tc>
      </w:tr>
      <w:tr>
        <w:tc>
          <w:tcPr>
            <w:tcW w:type="dxa" w:w="1984"/>
            <w:vAlign w:val="center"/>
            <w:shd w:fill="F2F2F2"/>
          </w:tcPr>
          <w:p>
            <w:pPr>
              <w:jc w:val="left"/>
            </w:pPr>
            <w:r>
              <w:rPr>
                <w:rFonts w:ascii="Microsoft YaHei" w:hAnsi="Microsoft YaHei" w:eastAsia="Microsoft YaHei"/>
                <w:color w:val="222222"/>
                <w:sz w:val="18"/>
              </w:rPr>
              <w:t>BCI海岬型指数</w:t>
            </w:r>
            <w:r>
              <w:rPr>
                <w:rFonts w:ascii="Times New Roman" w:hAnsi="Times New Roman" w:eastAsia="Times New Roman"/>
                <w:i/>
                <w:color w:val="666666"/>
                <w:sz w:val="17"/>
              </w:rPr>
              <w:br/>
              <w:t>Baltic Capesize Index (BCI)</w:t>
            </w:r>
          </w:p>
        </w:tc>
        <w:tc>
          <w:tcPr>
            <w:tcW w:type="dxa" w:w="1701"/>
            <w:vAlign w:val="center"/>
            <w:shd w:fill="F2F2F2"/>
          </w:tcPr>
          <w:p>
            <w:pPr>
              <w:jc w:val="left"/>
            </w:pPr>
            <w:r>
              <w:rPr>
                <w:rFonts w:ascii="Microsoft YaHei" w:hAnsi="Microsoft YaHei" w:eastAsia="Microsoft YaHei"/>
                <w:color w:val="222222"/>
                <w:sz w:val="18"/>
              </w:rPr>
              <w:t>5105点</w:t>
            </w:r>
            <w:r>
              <w:rPr>
                <w:rFonts w:ascii="Times New Roman" w:hAnsi="Times New Roman" w:eastAsia="Times New Roman"/>
                <w:i/>
                <w:color w:val="666666"/>
                <w:sz w:val="17"/>
              </w:rPr>
              <w:br/>
              <w:t>5105 pts</w:t>
            </w:r>
          </w:p>
        </w:tc>
        <w:tc>
          <w:tcPr>
            <w:tcW w:type="dxa" w:w="1701"/>
            <w:vAlign w:val="center"/>
            <w:shd w:fill="F2F2F2"/>
          </w:tcPr>
          <w:p>
            <w:pPr>
              <w:jc w:val="left"/>
            </w:pPr>
            <w:r>
              <w:rPr>
                <w:rFonts w:ascii="Microsoft YaHei" w:hAnsi="Microsoft YaHei" w:eastAsia="Microsoft YaHei"/>
                <w:color w:val="222222"/>
                <w:sz w:val="18"/>
              </w:rPr>
              <w:t>周线大涨19.4%</w:t>
            </w:r>
            <w:r>
              <w:rPr>
                <w:rFonts w:ascii="Times New Roman" w:hAnsi="Times New Roman" w:eastAsia="Times New Roman"/>
                <w:i/>
                <w:color w:val="666666"/>
                <w:sz w:val="17"/>
              </w:rPr>
              <w:br/>
              <w:t>Up 19.4% for the week</w:t>
            </w:r>
          </w:p>
        </w:tc>
        <w:tc>
          <w:tcPr>
            <w:tcW w:type="dxa" w:w="3969"/>
            <w:vAlign w:val="center"/>
            <w:shd w:fill="F2F2F2"/>
          </w:tcPr>
          <w:p>
            <w:pPr>
              <w:jc w:val="left"/>
            </w:pPr>
            <w:r>
              <w:rPr>
                <w:rFonts w:ascii="Microsoft YaHei" w:hAnsi="Microsoft YaHei" w:eastAsia="Microsoft YaHei"/>
                <w:color w:val="222222"/>
                <w:sz w:val="18"/>
              </w:rPr>
              <w:t>8月5日单日暴涨6.6%创6月3日以来新高；海岬型日均收益42797美元；8月10日微跌0.5%。</w:t>
            </w:r>
            <w:r>
              <w:rPr>
                <w:rFonts w:ascii="Times New Roman" w:hAnsi="Times New Roman" w:eastAsia="Times New Roman"/>
                <w:i/>
                <w:color w:val="666666"/>
                <w:sz w:val="17"/>
              </w:rPr>
              <w:br/>
              <w:t>Surged 6.6% on Aug 5 to Jun 3 high; daily TCE USD 42,797; eased 0.5% on Aug 10.</w:t>
            </w:r>
          </w:p>
        </w:tc>
      </w:tr>
      <w:tr>
        <w:tc>
          <w:tcPr>
            <w:tcW w:type="dxa" w:w="1984"/>
            <w:vAlign w:val="center"/>
          </w:tcPr>
          <w:p>
            <w:pPr>
              <w:jc w:val="left"/>
            </w:pPr>
            <w:r>
              <w:rPr>
                <w:rFonts w:ascii="Microsoft YaHei" w:hAnsi="Microsoft YaHei" w:eastAsia="Microsoft YaHei"/>
                <w:color w:val="222222"/>
                <w:sz w:val="18"/>
              </w:rPr>
              <w:t>BPI巴拿马型指数</w:t>
            </w:r>
            <w:r>
              <w:rPr>
                <w:rFonts w:ascii="Times New Roman" w:hAnsi="Times New Roman" w:eastAsia="Times New Roman"/>
                <w:i/>
                <w:color w:val="666666"/>
                <w:sz w:val="17"/>
              </w:rPr>
              <w:br/>
              <w:t>Baltic Panamax Index (BPI)</w:t>
            </w:r>
          </w:p>
        </w:tc>
        <w:tc>
          <w:tcPr>
            <w:tcW w:type="dxa" w:w="1701"/>
            <w:vAlign w:val="center"/>
          </w:tcPr>
          <w:p>
            <w:pPr>
              <w:jc w:val="left"/>
            </w:pPr>
            <w:r>
              <w:rPr>
                <w:rFonts w:ascii="Microsoft YaHei" w:hAnsi="Microsoft YaHei" w:eastAsia="Microsoft YaHei"/>
                <w:color w:val="222222"/>
                <w:sz w:val="18"/>
              </w:rPr>
              <w:t>2306点</w:t>
            </w:r>
            <w:r>
              <w:rPr>
                <w:rFonts w:ascii="Times New Roman" w:hAnsi="Times New Roman" w:eastAsia="Times New Roman"/>
                <w:i/>
                <w:color w:val="666666"/>
                <w:sz w:val="17"/>
              </w:rPr>
              <w:br/>
              <w:t>2306 pts</w:t>
            </w:r>
          </w:p>
        </w:tc>
        <w:tc>
          <w:tcPr>
            <w:tcW w:type="dxa" w:w="1701"/>
            <w:vAlign w:val="center"/>
          </w:tcPr>
          <w:p>
            <w:pPr>
              <w:jc w:val="left"/>
            </w:pPr>
            <w:r>
              <w:rPr>
                <w:rFonts w:ascii="Microsoft YaHei" w:hAnsi="Microsoft YaHei" w:eastAsia="Microsoft YaHei"/>
                <w:color w:val="222222"/>
                <w:sz w:val="18"/>
              </w:rPr>
              <w:t>上涨至6月2日以来最高</w:t>
            </w:r>
            <w:r>
              <w:rPr>
                <w:rFonts w:ascii="Times New Roman" w:hAnsi="Times New Roman" w:eastAsia="Times New Roman"/>
                <w:i/>
                <w:color w:val="666666"/>
                <w:sz w:val="17"/>
              </w:rPr>
              <w:br/>
              <w:t>Rose to highest since Jun 2</w:t>
            </w:r>
          </w:p>
        </w:tc>
        <w:tc>
          <w:tcPr>
            <w:tcW w:type="dxa" w:w="3969"/>
            <w:vAlign w:val="center"/>
          </w:tcPr>
          <w:p>
            <w:pPr>
              <w:jc w:val="left"/>
            </w:pPr>
            <w:r>
              <w:rPr>
                <w:rFonts w:ascii="Microsoft YaHei" w:hAnsi="Microsoft YaHei" w:eastAsia="Microsoft YaHei"/>
                <w:color w:val="222222"/>
                <w:sz w:val="18"/>
              </w:rPr>
              <w:t>粮食与煤炭贸易回暖，巴拿马型日均收益20755美元（+71美元/日）。</w:t>
            </w:r>
            <w:r>
              <w:rPr>
                <w:rFonts w:ascii="Times New Roman" w:hAnsi="Times New Roman" w:eastAsia="Times New Roman"/>
                <w:i/>
                <w:color w:val="666666"/>
                <w:sz w:val="17"/>
              </w:rPr>
              <w:br/>
              <w:t>Grain and coal trade recovering; Panamax daily TCE USD 20,755 (+USD 71/day).</w:t>
            </w:r>
          </w:p>
        </w:tc>
      </w:tr>
      <w:tr>
        <w:tc>
          <w:tcPr>
            <w:tcW w:type="dxa" w:w="1984"/>
            <w:vAlign w:val="center"/>
            <w:shd w:fill="F2F2F2"/>
          </w:tcPr>
          <w:p>
            <w:pPr>
              <w:jc w:val="left"/>
            </w:pPr>
            <w:r>
              <w:rPr>
                <w:rFonts w:ascii="Microsoft YaHei" w:hAnsi="Microsoft YaHei" w:eastAsia="Microsoft YaHei"/>
                <w:color w:val="222222"/>
                <w:sz w:val="18"/>
              </w:rPr>
              <w:t>BSI超灵便型指数</w:t>
            </w:r>
            <w:r>
              <w:rPr>
                <w:rFonts w:ascii="Times New Roman" w:hAnsi="Times New Roman" w:eastAsia="Times New Roman"/>
                <w:i/>
                <w:color w:val="666666"/>
                <w:sz w:val="17"/>
              </w:rPr>
              <w:br/>
              <w:t>Baltic Supramax Index (BSI)</w:t>
            </w:r>
          </w:p>
        </w:tc>
        <w:tc>
          <w:tcPr>
            <w:tcW w:type="dxa" w:w="1701"/>
            <w:vAlign w:val="center"/>
            <w:shd w:fill="F2F2F2"/>
          </w:tcPr>
          <w:p>
            <w:pPr>
              <w:jc w:val="left"/>
            </w:pPr>
            <w:r>
              <w:rPr>
                <w:rFonts w:ascii="Microsoft YaHei" w:hAnsi="Microsoft YaHei" w:eastAsia="Microsoft YaHei"/>
                <w:color w:val="222222"/>
                <w:sz w:val="18"/>
              </w:rPr>
              <w:t>1603点</w:t>
            </w:r>
            <w:r>
              <w:rPr>
                <w:rFonts w:ascii="Times New Roman" w:hAnsi="Times New Roman" w:eastAsia="Times New Roman"/>
                <w:i/>
                <w:color w:val="666666"/>
                <w:sz w:val="17"/>
              </w:rPr>
              <w:br/>
              <w:t>1603 pts</w:t>
            </w:r>
          </w:p>
        </w:tc>
        <w:tc>
          <w:tcPr>
            <w:tcW w:type="dxa" w:w="1701"/>
            <w:vAlign w:val="center"/>
            <w:shd w:fill="F2F2F2"/>
          </w:tcPr>
          <w:p>
            <w:pPr>
              <w:jc w:val="left"/>
            </w:pPr>
            <w:r>
              <w:rPr>
                <w:rFonts w:ascii="Microsoft YaHei" w:hAnsi="Microsoft YaHei" w:eastAsia="Microsoft YaHei"/>
                <w:color w:val="222222"/>
                <w:sz w:val="18"/>
              </w:rPr>
              <w:t>持平</w:t>
            </w:r>
            <w:r>
              <w:rPr>
                <w:rFonts w:ascii="Times New Roman" w:hAnsi="Times New Roman" w:eastAsia="Times New Roman"/>
                <w:i/>
                <w:color w:val="666666"/>
                <w:sz w:val="17"/>
              </w:rPr>
              <w:br/>
              <w:t>Flat</w:t>
            </w:r>
          </w:p>
        </w:tc>
        <w:tc>
          <w:tcPr>
            <w:tcW w:type="dxa" w:w="3969"/>
            <w:vAlign w:val="center"/>
            <w:shd w:fill="F2F2F2"/>
          </w:tcPr>
          <w:p>
            <w:pPr>
              <w:jc w:val="left"/>
            </w:pPr>
            <w:r>
              <w:rPr>
                <w:rFonts w:ascii="Microsoft YaHei" w:hAnsi="Microsoft YaHei" w:eastAsia="Microsoft YaHei"/>
                <w:color w:val="222222"/>
                <w:sz w:val="18"/>
              </w:rPr>
              <w:t>小宗散货需求平稳，运价随大市温和盘整；灵便型BHSI报872点（-2点）。</w:t>
            </w:r>
            <w:r>
              <w:rPr>
                <w:rFonts w:ascii="Times New Roman" w:hAnsi="Times New Roman" w:eastAsia="Times New Roman"/>
                <w:i/>
                <w:color w:val="666666"/>
                <w:sz w:val="17"/>
              </w:rPr>
              <w:br/>
              <w:t>Minor bulk demand steady; rates consolidating with the broader market; Handysize BHSI at 872 (-2).</w:t>
            </w:r>
          </w:p>
        </w:tc>
      </w:tr>
    </w:tbl>
    <w:p/>
    <w:p>
      <w:pPr>
        <w:spacing w:before="360" w:after="120"/>
      </w:pPr>
      <w:r>
        <w:rPr>
          <w:rFonts w:ascii="Microsoft YaHei" w:hAnsi="Microsoft YaHei" w:eastAsia="Microsoft YaHei"/>
          <w:b/>
          <w:color w:val="1A237E"/>
          <w:sz w:val="32"/>
        </w:rPr>
        <w:t>四、贸易政策</w:t>
      </w:r>
    </w:p>
    <w:tbl>
      <w:tblPr>
        <w:tblStyle w:val="TableGrid"/>
        <w:tblW w:type="auto" w:w="0"/>
        <w:jc w:val="center"/>
        <w:tblLook w:firstColumn="1" w:firstRow="1" w:lastColumn="0" w:lastRow="0" w:noHBand="0" w:noVBand="1" w:val="04A0"/>
      </w:tblPr>
      <w:tblGrid>
        <w:gridCol w:w="3213"/>
        <w:gridCol w:w="3213"/>
        <w:gridCol w:w="3213"/>
      </w:tblGrid>
      <w:tr>
        <w:tc>
          <w:tcPr>
            <w:tcW w:type="dxa" w:w="2551"/>
            <w:shd w:fill="1A237E"/>
            <w:vAlign w:val="center"/>
          </w:tcPr>
          <w:p>
            <w:pPr>
              <w:jc w:val="center"/>
            </w:pPr>
            <w:r>
              <w:rPr>
                <w:rFonts w:ascii="Microsoft YaHei" w:hAnsi="Microsoft YaHei" w:eastAsia="Microsoft YaHei"/>
                <w:b/>
                <w:color w:val="FFFFFF"/>
                <w:sz w:val="18"/>
              </w:rPr>
              <w:t>政策/事件 / Policy or Event</w:t>
            </w:r>
            <w:r>
              <w:rPr>
                <w:rFonts w:ascii="Times New Roman" w:hAnsi="Times New Roman" w:eastAsia="Times New Roman"/>
                <w:b/>
                <w:i/>
                <w:color w:val="DDDDDD"/>
                <w:sz w:val="17"/>
              </w:rPr>
              <w:br/>
              <w:t>Event</w:t>
            </w:r>
          </w:p>
        </w:tc>
        <w:tc>
          <w:tcPr>
            <w:tcW w:type="dxa" w:w="3969"/>
            <w:shd w:fill="1A237E"/>
            <w:vAlign w:val="center"/>
          </w:tcPr>
          <w:p>
            <w:pPr>
              <w:jc w:val="center"/>
            </w:pPr>
            <w:r>
              <w:rPr>
                <w:rFonts w:ascii="Microsoft YaHei" w:hAnsi="Microsoft YaHei" w:eastAsia="Microsoft YaHei"/>
                <w:b/>
                <w:color w:val="FFFFFF"/>
                <w:sz w:val="18"/>
              </w:rPr>
              <w:t>内容 / Details</w:t>
            </w:r>
            <w:r>
              <w:rPr>
                <w:rFonts w:ascii="Times New Roman" w:hAnsi="Times New Roman" w:eastAsia="Times New Roman"/>
                <w:b/>
                <w:i/>
                <w:color w:val="DDDDDD"/>
                <w:sz w:val="17"/>
              </w:rPr>
              <w:br/>
              <w:t>Details</w:t>
            </w:r>
          </w:p>
        </w:tc>
        <w:tc>
          <w:tcPr>
            <w:tcW w:type="dxa" w:w="2835"/>
            <w:shd w:fill="1A237E"/>
            <w:vAlign w:val="center"/>
          </w:tcPr>
          <w:p>
            <w:pPr>
              <w:jc w:val="center"/>
            </w:pPr>
            <w:r>
              <w:rPr>
                <w:rFonts w:ascii="Microsoft YaHei" w:hAnsi="Microsoft YaHei" w:eastAsia="Microsoft YaHei"/>
                <w:b/>
                <w:color w:val="FFFFFF"/>
                <w:sz w:val="18"/>
              </w:rPr>
              <w:t>影响 / Impact</w:t>
            </w:r>
            <w:r>
              <w:rPr>
                <w:rFonts w:ascii="Times New Roman" w:hAnsi="Times New Roman" w:eastAsia="Times New Roman"/>
                <w:b/>
                <w:i/>
                <w:color w:val="DDDDDD"/>
                <w:sz w:val="17"/>
              </w:rPr>
              <w:br/>
              <w:t>Impact</w:t>
            </w:r>
          </w:p>
        </w:tc>
      </w:tr>
      <w:tr>
        <w:tc>
          <w:tcPr>
            <w:tcW w:type="dxa" w:w="2551"/>
            <w:vAlign w:val="center"/>
          </w:tcPr>
          <w:p>
            <w:pPr>
              <w:jc w:val="left"/>
            </w:pPr>
            <w:r>
              <w:rPr>
                <w:rFonts w:ascii="Microsoft YaHei" w:hAnsi="Microsoft YaHei" w:eastAsia="Microsoft YaHei"/>
                <w:color w:val="222222"/>
                <w:sz w:val="18"/>
              </w:rPr>
              <w:t>日本对华热镀锌钢带征收临时反倾销税</w:t>
            </w:r>
            <w:r>
              <w:rPr>
                <w:rFonts w:ascii="Times New Roman" w:hAnsi="Times New Roman" w:eastAsia="Times New Roman"/>
                <w:i/>
                <w:color w:val="666666"/>
                <w:sz w:val="17"/>
              </w:rPr>
              <w:br/>
              <w:t>Japan imposes provisional AD on Chinese HDG steel</w:t>
            </w:r>
          </w:p>
        </w:tc>
        <w:tc>
          <w:tcPr>
            <w:tcW w:type="dxa" w:w="3969"/>
            <w:vAlign w:val="center"/>
          </w:tcPr>
          <w:p>
            <w:pPr>
              <w:jc w:val="left"/>
            </w:pPr>
            <w:r>
              <w:rPr>
                <w:rFonts w:ascii="Microsoft YaHei" w:hAnsi="Microsoft YaHei" w:eastAsia="Microsoft YaHei"/>
                <w:color w:val="222222"/>
                <w:sz w:val="18"/>
              </w:rPr>
              <w:t>8月7日，日本内阁发布第254号政令，对原产于中国和韩国的热镀锌钢带和钢板征收29.2%-55.3%临时反倾销税，8月8日起生效，有效期至12月7日。</w:t>
            </w:r>
            <w:r>
              <w:rPr>
                <w:rFonts w:ascii="Times New Roman" w:hAnsi="Times New Roman" w:eastAsia="Times New Roman"/>
                <w:i/>
                <w:color w:val="666666"/>
                <w:sz w:val="17"/>
              </w:rPr>
              <w:br/>
              <w:t>Aug 7: Japan Cabinet Decree No. 254 imposed 29.2%-55.3% provisional AD on Chinese and Korean HDG steel strip/sheet; effective Aug 8 through Dec 7.</w:t>
            </w:r>
          </w:p>
        </w:tc>
        <w:tc>
          <w:tcPr>
            <w:tcW w:type="dxa" w:w="2835"/>
            <w:vAlign w:val="center"/>
          </w:tcPr>
          <w:p>
            <w:pPr>
              <w:jc w:val="left"/>
            </w:pPr>
            <w:r>
              <w:rPr>
                <w:rFonts w:ascii="Microsoft YaHei" w:hAnsi="Microsoft YaHei" w:eastAsia="Microsoft YaHei"/>
                <w:color w:val="222222"/>
                <w:sz w:val="18"/>
              </w:rPr>
              <w:t>日本市场对中国镀锌钢出口正式封锁，短期出口订单冲击明显；日系供应链加速本土化采购。</w:t>
            </w:r>
            <w:r>
              <w:rPr>
                <w:rFonts w:ascii="Times New Roman" w:hAnsi="Times New Roman" w:eastAsia="Times New Roman"/>
                <w:i/>
                <w:color w:val="666666"/>
                <w:sz w:val="17"/>
              </w:rPr>
              <w:br/>
              <w:t>Japanese market for Chinese galvanized steel effectively closed; short-term order impact significant; Japanese supply chains accelerating local sourcing.</w:t>
            </w:r>
          </w:p>
        </w:tc>
      </w:tr>
      <w:tr>
        <w:tc>
          <w:tcPr>
            <w:tcW w:type="dxa" w:w="2551"/>
            <w:vAlign w:val="center"/>
            <w:shd w:fill="F2F2F2"/>
          </w:tcPr>
          <w:p>
            <w:pPr>
              <w:jc w:val="left"/>
            </w:pPr>
            <w:r>
              <w:rPr>
                <w:rFonts w:ascii="Microsoft YaHei" w:hAnsi="Microsoft YaHei" w:eastAsia="Microsoft YaHei"/>
                <w:color w:val="222222"/>
                <w:sz w:val="18"/>
              </w:rPr>
              <w:t>马来西亚对华预涂钢卷和镀铝锌制品双线立案</w:t>
            </w:r>
            <w:r>
              <w:rPr>
                <w:rFonts w:ascii="Times New Roman" w:hAnsi="Times New Roman" w:eastAsia="Times New Roman"/>
                <w:i/>
                <w:color w:val="666666"/>
                <w:sz w:val="17"/>
              </w:rPr>
              <w:br/>
              <w:t>Malaysia launches dual AD investigations on Chinese steel</w:t>
            </w:r>
          </w:p>
        </w:tc>
        <w:tc>
          <w:tcPr>
            <w:tcW w:type="dxa" w:w="3969"/>
            <w:vAlign w:val="center"/>
            <w:shd w:fill="F2F2F2"/>
          </w:tcPr>
          <w:p>
            <w:pPr>
              <w:jc w:val="left"/>
            </w:pPr>
            <w:r>
              <w:rPr>
                <w:rFonts w:ascii="Microsoft YaHei" w:hAnsi="Microsoft YaHei" w:eastAsia="Microsoft YaHei"/>
                <w:color w:val="222222"/>
                <w:sz w:val="18"/>
              </w:rPr>
              <w:t>8月6日，马来西亚对原产于中国和越南的预涂漆彩色涂层钢卷启动第二次反倾销日落复审；同日对中国大陆、台湾地区和越南的镀铝锌扁轧制品启动反倾销调查。</w:t>
            </w:r>
            <w:r>
              <w:rPr>
                <w:rFonts w:ascii="Times New Roman" w:hAnsi="Times New Roman" w:eastAsia="Times New Roman"/>
                <w:i/>
                <w:color w:val="666666"/>
                <w:sz w:val="17"/>
              </w:rPr>
              <w:br/>
              <w:t>Aug 6: Malaysia launched 2nd sunset review on prepainted/coated steel coils from China and Vietnam; same day initiated AD investigation on galvalume flat products from China, Taiwan and Vietnam.</w:t>
            </w:r>
          </w:p>
        </w:tc>
        <w:tc>
          <w:tcPr>
            <w:tcW w:type="dxa" w:w="2835"/>
            <w:vAlign w:val="center"/>
            <w:shd w:fill="F2F2F2"/>
          </w:tcPr>
          <w:p>
            <w:pPr>
              <w:jc w:val="left"/>
            </w:pPr>
            <w:r>
              <w:rPr>
                <w:rFonts w:ascii="Microsoft YaHei" w:hAnsi="Microsoft YaHei" w:eastAsia="Microsoft YaHei"/>
                <w:color w:val="222222"/>
                <w:sz w:val="18"/>
              </w:rPr>
              <w:t>东南亚贸易壁垒继续扩散；马来西亚作为RCEP成员国对中国镀层板卷双线立案，区域转口空间收窄。</w:t>
            </w:r>
            <w:r>
              <w:rPr>
                <w:rFonts w:ascii="Times New Roman" w:hAnsi="Times New Roman" w:eastAsia="Times New Roman"/>
                <w:i/>
                <w:color w:val="666666"/>
                <w:sz w:val="17"/>
              </w:rPr>
              <w:br/>
              <w:t>Southeast Asian barriers spreading; Malaysia as an RCEP member launching dual investigations narrows regional transshipment space.</w:t>
            </w:r>
          </w:p>
        </w:tc>
      </w:tr>
      <w:tr>
        <w:tc>
          <w:tcPr>
            <w:tcW w:type="dxa" w:w="2551"/>
            <w:vAlign w:val="center"/>
          </w:tcPr>
          <w:p>
            <w:pPr>
              <w:jc w:val="left"/>
            </w:pPr>
            <w:r>
              <w:rPr>
                <w:rFonts w:ascii="Microsoft YaHei" w:hAnsi="Microsoft YaHei" w:eastAsia="Microsoft YaHei"/>
                <w:color w:val="222222"/>
                <w:sz w:val="18"/>
              </w:rPr>
              <w:t>欧盟对多国冷轧板卷反倾销终裁</w:t>
            </w:r>
            <w:r>
              <w:rPr>
                <w:rFonts w:ascii="Times New Roman" w:hAnsi="Times New Roman" w:eastAsia="Times New Roman"/>
                <w:i/>
                <w:color w:val="666666"/>
                <w:sz w:val="17"/>
              </w:rPr>
              <w:br/>
              <w:t>EU finalizes AD on CRC from multiple countries</w:t>
            </w:r>
          </w:p>
        </w:tc>
        <w:tc>
          <w:tcPr>
            <w:tcW w:type="dxa" w:w="3969"/>
            <w:vAlign w:val="center"/>
          </w:tcPr>
          <w:p>
            <w:pPr>
              <w:jc w:val="left"/>
            </w:pPr>
            <w:r>
              <w:rPr>
                <w:rFonts w:ascii="Microsoft YaHei" w:hAnsi="Microsoft YaHei" w:eastAsia="Microsoft YaHei"/>
                <w:color w:val="222222"/>
                <w:sz w:val="18"/>
              </w:rPr>
              <w:t>欧盟委员会公布对原产于印度、日本、中国台湾、土耳其和越南的冷轧板卷反倾销终裁，征收5.6%-28.0%关税。其中日本最高28.0%、印度9.5%、越南统一16.0%。不追溯征税。</w:t>
            </w:r>
            <w:r>
              <w:rPr>
                <w:rFonts w:ascii="Times New Roman" w:hAnsi="Times New Roman" w:eastAsia="Times New Roman"/>
                <w:i/>
                <w:color w:val="666666"/>
                <w:sz w:val="17"/>
              </w:rPr>
              <w:br/>
              <w:t>EU Commission finalized AD on CRC from India, Japan, Taiwan, Turkey and Vietnam at 5.6%-28.0%; Japan highest at 28.0%, India 9.5%, Vietnam flat 16.0%. No retroactive collection.</w:t>
            </w:r>
          </w:p>
        </w:tc>
        <w:tc>
          <w:tcPr>
            <w:tcW w:type="dxa" w:w="2835"/>
            <w:vAlign w:val="center"/>
          </w:tcPr>
          <w:p>
            <w:pPr>
              <w:jc w:val="left"/>
            </w:pPr>
            <w:r>
              <w:rPr>
                <w:rFonts w:ascii="Microsoft YaHei" w:hAnsi="Microsoft YaHei" w:eastAsia="Microsoft YaHei"/>
                <w:color w:val="222222"/>
                <w:sz w:val="18"/>
              </w:rPr>
              <w:t>欧盟钢铁进口管控持续收紧，叠加7月1日保障措施配额外50%关税，对欧出口格局加速重塑。</w:t>
            </w:r>
            <w:r>
              <w:rPr>
                <w:rFonts w:ascii="Times New Roman" w:hAnsi="Times New Roman" w:eastAsia="Times New Roman"/>
                <w:i/>
                <w:color w:val="666666"/>
                <w:sz w:val="17"/>
              </w:rPr>
              <w:br/>
              <w:t>EU steel import controls tightening further; combined with Jul 1 safeguard 50% out-of-quota tariff, EU export landscape is being reshaped.</w:t>
            </w:r>
          </w:p>
        </w:tc>
      </w:tr>
      <w:tr>
        <w:tc>
          <w:tcPr>
            <w:tcW w:type="dxa" w:w="2551"/>
            <w:vAlign w:val="center"/>
            <w:shd w:fill="F2F2F2"/>
          </w:tcPr>
          <w:p>
            <w:pPr>
              <w:jc w:val="left"/>
            </w:pPr>
            <w:r>
              <w:rPr>
                <w:rFonts w:ascii="Microsoft YaHei" w:hAnsi="Microsoft YaHei" w:eastAsia="Microsoft YaHei"/>
                <w:color w:val="222222"/>
                <w:sz w:val="18"/>
              </w:rPr>
              <w:t>欧盟钢铁保障措施实施满月</w:t>
            </w:r>
            <w:r>
              <w:rPr>
                <w:rFonts w:ascii="Times New Roman" w:hAnsi="Times New Roman" w:eastAsia="Times New Roman"/>
                <w:i/>
                <w:color w:val="666666"/>
                <w:sz w:val="17"/>
              </w:rPr>
              <w:br/>
              <w:t>EU steel safeguard measures one month in</w:t>
            </w:r>
          </w:p>
        </w:tc>
        <w:tc>
          <w:tcPr>
            <w:tcW w:type="dxa" w:w="3969"/>
            <w:vAlign w:val="center"/>
            <w:shd w:fill="F2F2F2"/>
          </w:tcPr>
          <w:p>
            <w:pPr>
              <w:jc w:val="left"/>
            </w:pPr>
            <w:r>
              <w:rPr>
                <w:rFonts w:ascii="Microsoft YaHei" w:hAnsi="Microsoft YaHei" w:eastAsia="Microsoft YaHei"/>
                <w:color w:val="222222"/>
                <w:sz w:val="18"/>
              </w:rPr>
              <w:t>7月1日生效已满五周，配额外50%关税及熔炼浇铸地溯源规则（10月1日执行）持续重塑对欧出口格局；7月初对欧出口订单显著减少。</w:t>
            </w:r>
            <w:r>
              <w:rPr>
                <w:rFonts w:ascii="Times New Roman" w:hAnsi="Times New Roman" w:eastAsia="Times New Roman"/>
                <w:i/>
                <w:color w:val="666666"/>
                <w:sz w:val="17"/>
              </w:rPr>
              <w:br/>
              <w:t>Five weeks since Jul 1 implementation; 50% out-of-quota tariff and origin-tracing rules (effective Oct 1) continue reshaping export patterns; early-July EU orders dropped significantly.</w:t>
            </w:r>
          </w:p>
        </w:tc>
        <w:tc>
          <w:tcPr>
            <w:tcW w:type="dxa" w:w="2835"/>
            <w:vAlign w:val="center"/>
            <w:shd w:fill="F2F2F2"/>
          </w:tcPr>
          <w:p>
            <w:pPr>
              <w:jc w:val="left"/>
            </w:pPr>
            <w:r>
              <w:rPr>
                <w:rFonts w:ascii="Microsoft YaHei" w:hAnsi="Microsoft YaHei" w:eastAsia="Microsoft YaHei"/>
                <w:color w:val="222222"/>
                <w:sz w:val="18"/>
              </w:rPr>
              <w:t>低端普钢对欧出口大幅萎缩，热卷、中厚板等主力品种出口意愿受挫，转口风险加大。</w:t>
            </w:r>
            <w:r>
              <w:rPr>
                <w:rFonts w:ascii="Times New Roman" w:hAnsi="Times New Roman" w:eastAsia="Times New Roman"/>
                <w:i/>
                <w:color w:val="666666"/>
                <w:sz w:val="17"/>
              </w:rPr>
              <w:br/>
              <w:t>Low-end carbon steel exports to Europe shrunk sharply; HRC and plate export willingness weakened; transshipment risks increased.</w:t>
            </w:r>
          </w:p>
        </w:tc>
      </w:tr>
      <w:tr>
        <w:tc>
          <w:tcPr>
            <w:tcW w:type="dxa" w:w="2551"/>
            <w:vAlign w:val="center"/>
          </w:tcPr>
          <w:p>
            <w:pPr>
              <w:jc w:val="left"/>
            </w:pPr>
            <w:r>
              <w:rPr>
                <w:rFonts w:ascii="Microsoft YaHei" w:hAnsi="Microsoft YaHei" w:eastAsia="Microsoft YaHei"/>
                <w:color w:val="222222"/>
                <w:sz w:val="18"/>
              </w:rPr>
              <w:t>中国钢铁出口许可证制度</w:t>
            </w:r>
            <w:r>
              <w:rPr>
                <w:rFonts w:ascii="Times New Roman" w:hAnsi="Times New Roman" w:eastAsia="Times New Roman"/>
                <w:i/>
                <w:color w:val="666666"/>
                <w:sz w:val="17"/>
              </w:rPr>
              <w:br/>
              <w:t>China steel export license system</w:t>
            </w:r>
          </w:p>
        </w:tc>
        <w:tc>
          <w:tcPr>
            <w:tcW w:type="dxa" w:w="3969"/>
            <w:vAlign w:val="center"/>
          </w:tcPr>
          <w:p>
            <w:pPr>
              <w:jc w:val="left"/>
            </w:pPr>
            <w:r>
              <w:rPr>
                <w:rFonts w:ascii="Microsoft YaHei" w:hAnsi="Microsoft YaHei" w:eastAsia="Microsoft YaHei"/>
                <w:color w:val="222222"/>
                <w:sz w:val="18"/>
              </w:rPr>
              <w:t>自2026年1月1日起实施，覆盖300个HS编码；需凭出口合同和生产商质检合格证明申领。7月出口同比下降印证制度调控效果。</w:t>
            </w:r>
            <w:r>
              <w:rPr>
                <w:rFonts w:ascii="Times New Roman" w:hAnsi="Times New Roman" w:eastAsia="Times New Roman"/>
                <w:i/>
                <w:color w:val="666666"/>
                <w:sz w:val="17"/>
              </w:rPr>
              <w:br/>
              <w:t>In effect since Jan 1, 2026, covering 300 HS codes; requires export contracts and producer quality certificates. July export YoY decline confirms regulatory effect.</w:t>
            </w:r>
          </w:p>
        </w:tc>
        <w:tc>
          <w:tcPr>
            <w:tcW w:type="dxa" w:w="2835"/>
            <w:vAlign w:val="center"/>
          </w:tcPr>
          <w:p>
            <w:pPr>
              <w:jc w:val="left"/>
            </w:pPr>
            <w:r>
              <w:rPr>
                <w:rFonts w:ascii="Microsoft YaHei" w:hAnsi="Microsoft YaHei" w:eastAsia="Microsoft YaHei"/>
                <w:color w:val="222222"/>
                <w:sz w:val="18"/>
              </w:rPr>
              <w:t>合规门槛提高，中小出口企业需加快适应；行业集中度或进一步提升，下半年出口量预计继续收缩。</w:t>
            </w:r>
            <w:r>
              <w:rPr>
                <w:rFonts w:ascii="Times New Roman" w:hAnsi="Times New Roman" w:eastAsia="Times New Roman"/>
                <w:i/>
                <w:color w:val="666666"/>
                <w:sz w:val="17"/>
              </w:rPr>
              <w:br/>
              <w:t>Compliance threshold raised; smaller exporters need to adapt; industry concentration may increase further; H2 exports expected to continue contracting.</w:t>
            </w:r>
          </w:p>
        </w:tc>
      </w:tr>
    </w:tbl>
    <w:p/>
    <w:p>
      <w:pPr>
        <w:spacing w:before="360" w:after="120"/>
      </w:pPr>
      <w:r>
        <w:rPr>
          <w:rFonts w:ascii="Microsoft YaHei" w:hAnsi="Microsoft YaHei" w:eastAsia="Microsoft YaHei"/>
          <w:b/>
          <w:color w:val="1A237E"/>
          <w:sz w:val="32"/>
        </w:rPr>
        <w:t>五、地缘政治</w:t>
      </w:r>
    </w:p>
    <w:tbl>
      <w:tblPr>
        <w:tblStyle w:val="TableGrid"/>
        <w:tblW w:type="auto" w:w="0"/>
        <w:jc w:val="center"/>
        <w:tblLook w:firstColumn="1" w:firstRow="1" w:lastColumn="0" w:lastRow="0" w:noHBand="0" w:noVBand="1" w:val="04A0"/>
      </w:tblPr>
      <w:tblGrid>
        <w:gridCol w:w="3213"/>
        <w:gridCol w:w="3213"/>
        <w:gridCol w:w="3213"/>
      </w:tblGrid>
      <w:tr>
        <w:tc>
          <w:tcPr>
            <w:tcW w:type="dxa" w:w="1984"/>
            <w:shd w:fill="1A237E"/>
            <w:vAlign w:val="center"/>
          </w:tcPr>
          <w:p>
            <w:pPr>
              <w:jc w:val="center"/>
            </w:pPr>
            <w:r>
              <w:rPr>
                <w:rFonts w:ascii="Microsoft YaHei" w:hAnsi="Microsoft YaHei" w:eastAsia="Microsoft YaHei"/>
                <w:b/>
                <w:color w:val="FFFFFF"/>
                <w:sz w:val="18"/>
              </w:rPr>
              <w:t>事件 / Event</w:t>
            </w:r>
            <w:r>
              <w:rPr>
                <w:rFonts w:ascii="Times New Roman" w:hAnsi="Times New Roman" w:eastAsia="Times New Roman"/>
                <w:b/>
                <w:i/>
                <w:color w:val="DDDDDD"/>
                <w:sz w:val="17"/>
              </w:rPr>
              <w:br/>
              <w:t>Event</w:t>
            </w:r>
          </w:p>
        </w:tc>
        <w:tc>
          <w:tcPr>
            <w:tcW w:type="dxa" w:w="3969"/>
            <w:shd w:fill="1A237E"/>
            <w:vAlign w:val="center"/>
          </w:tcPr>
          <w:p>
            <w:pPr>
              <w:jc w:val="center"/>
            </w:pPr>
            <w:r>
              <w:rPr>
                <w:rFonts w:ascii="Microsoft YaHei" w:hAnsi="Microsoft YaHei" w:eastAsia="Microsoft YaHei"/>
                <w:b/>
                <w:color w:val="FFFFFF"/>
                <w:sz w:val="18"/>
              </w:rPr>
              <w:t>最新进展 / Update</w:t>
            </w:r>
            <w:r>
              <w:rPr>
                <w:rFonts w:ascii="Times New Roman" w:hAnsi="Times New Roman" w:eastAsia="Times New Roman"/>
                <w:b/>
                <w:i/>
                <w:color w:val="DDDDDD"/>
                <w:sz w:val="17"/>
              </w:rPr>
              <w:br/>
              <w:t>Update</w:t>
            </w:r>
          </w:p>
        </w:tc>
        <w:tc>
          <w:tcPr>
            <w:tcW w:type="dxa" w:w="3402"/>
            <w:shd w:fill="1A237E"/>
            <w:vAlign w:val="center"/>
          </w:tcPr>
          <w:p>
            <w:pPr>
              <w:jc w:val="center"/>
            </w:pPr>
            <w:r>
              <w:rPr>
                <w:rFonts w:ascii="Microsoft YaHei" w:hAnsi="Microsoft YaHei" w:eastAsia="Microsoft YaHei"/>
                <w:b/>
                <w:color w:val="FFFFFF"/>
                <w:sz w:val="18"/>
              </w:rPr>
              <w:t>市场影响 / Market Impact</w:t>
            </w:r>
            <w:r>
              <w:rPr>
                <w:rFonts w:ascii="Times New Roman" w:hAnsi="Times New Roman" w:eastAsia="Times New Roman"/>
                <w:b/>
                <w:i/>
                <w:color w:val="DDDDDD"/>
                <w:sz w:val="17"/>
              </w:rPr>
              <w:br/>
              <w:t>Market Impact</w:t>
            </w:r>
          </w:p>
        </w:tc>
      </w:tr>
      <w:tr>
        <w:tc>
          <w:tcPr>
            <w:tcW w:type="dxa" w:w="1984"/>
            <w:vAlign w:val="center"/>
          </w:tcPr>
          <w:p>
            <w:pPr>
              <w:jc w:val="left"/>
            </w:pPr>
            <w:r>
              <w:rPr>
                <w:rFonts w:ascii="Microsoft YaHei" w:hAnsi="Microsoft YaHei" w:eastAsia="Microsoft YaHei"/>
                <w:color w:val="222222"/>
                <w:sz w:val="18"/>
              </w:rPr>
              <w:t>美伊谈判陷入僵局——互要赔偿</w:t>
            </w:r>
            <w:r>
              <w:rPr>
                <w:rFonts w:ascii="Times New Roman" w:hAnsi="Times New Roman" w:eastAsia="Times New Roman"/>
                <w:i/>
                <w:color w:val="666666"/>
                <w:sz w:val="17"/>
              </w:rPr>
              <w:br/>
              <w:t>U.S.-Iran talks stall — mutual reparations demanded</w:t>
            </w:r>
          </w:p>
        </w:tc>
        <w:tc>
          <w:tcPr>
            <w:tcW w:type="dxa" w:w="3969"/>
            <w:vAlign w:val="center"/>
          </w:tcPr>
          <w:p>
            <w:pPr>
              <w:jc w:val="left"/>
            </w:pPr>
            <w:r>
              <w:rPr>
                <w:rFonts w:ascii="Microsoft YaHei" w:hAnsi="Microsoft YaHei" w:eastAsia="Microsoft YaHei"/>
                <w:color w:val="222222"/>
                <w:sz w:val="18"/>
              </w:rPr>
              <w:t>8月10日特朗普在社交媒体发文，称伊朗要求美国赔偿冲突损失后，他也要向伊朗索赔伤亡赔偿，并已指示谈判代表将此纳入今后所有谈判。伊朗外长同日强调，与阿曼海峡航线谈判顺利，但航线谈妥≠海峡全面开放。英国《卫报》称谈判已陷入僵局。</w:t>
            </w:r>
            <w:r>
              <w:rPr>
                <w:rFonts w:ascii="Times New Roman" w:hAnsi="Times New Roman" w:eastAsia="Times New Roman"/>
                <w:i/>
                <w:color w:val="666666"/>
                <w:sz w:val="17"/>
              </w:rPr>
              <w:br/>
              <w:t>Aug 10: Trump posted on social media that after Iran demanded war reparations, he would counter-demand compensation from Iran for casualties, and instructed negotiators to include this in all future talks. Iran FM same day stressed Oman strait-route talks progressing well, but route agreement ≠ full strait reopening. UK Guardian called talks stalled.</w:t>
            </w:r>
          </w:p>
        </w:tc>
        <w:tc>
          <w:tcPr>
            <w:tcW w:type="dxa" w:w="3402"/>
            <w:vAlign w:val="center"/>
          </w:tcPr>
          <w:p>
            <w:pPr>
              <w:jc w:val="left"/>
            </w:pPr>
            <w:r>
              <w:rPr>
                <w:rFonts w:ascii="Microsoft YaHei" w:hAnsi="Microsoft YaHei" w:eastAsia="Microsoft YaHei"/>
                <w:color w:val="222222"/>
                <w:sz w:val="18"/>
              </w:rPr>
              <w:t>8月10日WTI大涨5.05%至82.13美元/桶、布伦特涨约5%至87.72美元/桶；市场重新计入海峡供应中断风险。</w:t>
            </w:r>
            <w:r>
              <w:rPr>
                <w:rFonts w:ascii="Times New Roman" w:hAnsi="Times New Roman" w:eastAsia="Times New Roman"/>
                <w:i/>
                <w:color w:val="666666"/>
                <w:sz w:val="17"/>
              </w:rPr>
              <w:br/>
              <w:t>Aug 10: WTI surged 5.05% to USD 82.13/bbl, Brent up ~5% to USD 87.72; market repriced Hormuz supply disruption risk.</w:t>
            </w:r>
          </w:p>
        </w:tc>
      </w:tr>
      <w:tr>
        <w:tc>
          <w:tcPr>
            <w:tcW w:type="dxa" w:w="1984"/>
            <w:vAlign w:val="center"/>
            <w:shd w:fill="F2F2F2"/>
          </w:tcPr>
          <w:p>
            <w:pPr>
              <w:jc w:val="left"/>
            </w:pPr>
            <w:r>
              <w:rPr>
                <w:rFonts w:ascii="Microsoft YaHei" w:hAnsi="Microsoft YaHei" w:eastAsia="Microsoft YaHei"/>
                <w:color w:val="222222"/>
                <w:sz w:val="18"/>
              </w:rPr>
              <w:t>霍尔木兹海峡通航——航线接近谈妥但海峡仍封闭</w:t>
            </w:r>
            <w:r>
              <w:rPr>
                <w:rFonts w:ascii="Times New Roman" w:hAnsi="Times New Roman" w:eastAsia="Times New Roman"/>
                <w:i/>
                <w:color w:val="666666"/>
                <w:sz w:val="17"/>
              </w:rPr>
              <w:br/>
              <w:t>Hormuz strait — route near deal but strait remains closed</w:t>
            </w:r>
          </w:p>
        </w:tc>
        <w:tc>
          <w:tcPr>
            <w:tcW w:type="dxa" w:w="3969"/>
            <w:vAlign w:val="center"/>
            <w:shd w:fill="F2F2F2"/>
          </w:tcPr>
          <w:p>
            <w:pPr>
              <w:jc w:val="left"/>
            </w:pPr>
            <w:r>
              <w:rPr>
                <w:rFonts w:ascii="Microsoft YaHei" w:hAnsi="Microsoft YaHei" w:eastAsia="Microsoft YaHei"/>
                <w:color w:val="222222"/>
                <w:sz w:val="18"/>
              </w:rPr>
              <w:t>伊朗与阿曼已就商业船舶临时通航路线达成初步共识，正磋商联合声明技术问题。但伊朗重申：只要美国不停止海上封锁及军事行动，海峡不具备全面恢复通航条件。伊朗开出五条件：解除封锁/撤军/赔偿/释放资产/停止军事行动。</w:t>
            </w:r>
            <w:r>
              <w:rPr>
                <w:rFonts w:ascii="Times New Roman" w:hAnsi="Times New Roman" w:eastAsia="Times New Roman"/>
                <w:i/>
                <w:color w:val="666666"/>
                <w:sz w:val="17"/>
              </w:rPr>
              <w:br/>
              <w:t>Iran and Oman reached preliminary consensus on temporary commercial vessel route, working on joint statement technicalities. Iran reiterates: strait cannot fully reopen until U.S. stops blockade and military actions. Five conditions: lift blockade/withdraw troops/pay compensation/release frozen assets/cease military operations.</w:t>
            </w:r>
          </w:p>
        </w:tc>
        <w:tc>
          <w:tcPr>
            <w:tcW w:type="dxa" w:w="3402"/>
            <w:vAlign w:val="center"/>
            <w:shd w:fill="F2F2F2"/>
          </w:tcPr>
          <w:p>
            <w:pPr>
              <w:jc w:val="left"/>
            </w:pPr>
            <w:r>
              <w:rPr>
                <w:rFonts w:ascii="Microsoft YaHei" w:hAnsi="Microsoft YaHei" w:eastAsia="Microsoft YaHei"/>
                <w:color w:val="222222"/>
                <w:sz w:val="18"/>
              </w:rPr>
              <w:t>通航实际恢复仍遥遥无期；全球约20%石油出口经霍尔木兹，风险溢价持续计入油价和海运费。</w:t>
            </w:r>
            <w:r>
              <w:rPr>
                <w:rFonts w:ascii="Times New Roman" w:hAnsi="Times New Roman" w:eastAsia="Times New Roman"/>
                <w:i/>
                <w:color w:val="666666"/>
                <w:sz w:val="17"/>
              </w:rPr>
              <w:br/>
              <w:t>Full navigation resumption remains remote; ~20% of global oil transits Hormuz; risk premiums persist in oil prices and freight rates.</w:t>
            </w:r>
          </w:p>
        </w:tc>
      </w:tr>
      <w:tr>
        <w:tc>
          <w:tcPr>
            <w:tcW w:type="dxa" w:w="1984"/>
            <w:vAlign w:val="center"/>
          </w:tcPr>
          <w:p>
            <w:pPr>
              <w:jc w:val="left"/>
            </w:pPr>
            <w:r>
              <w:rPr>
                <w:rFonts w:ascii="Microsoft YaHei" w:hAnsi="Microsoft YaHei" w:eastAsia="Microsoft YaHei"/>
                <w:color w:val="222222"/>
                <w:sz w:val="18"/>
              </w:rPr>
              <w:t>原油价格过山车——周跌超10%后周一暴涨5%</w:t>
            </w:r>
            <w:r>
              <w:rPr>
                <w:rFonts w:ascii="Times New Roman" w:hAnsi="Times New Roman" w:eastAsia="Times New Roman"/>
                <w:i/>
                <w:color w:val="666666"/>
                <w:sz w:val="17"/>
              </w:rPr>
              <w:br/>
              <w:t>Oil prices roller-coaster — weekly drop 10%+ then Monday surge 5%</w:t>
            </w:r>
          </w:p>
        </w:tc>
        <w:tc>
          <w:tcPr>
            <w:tcW w:type="dxa" w:w="3969"/>
            <w:vAlign w:val="center"/>
          </w:tcPr>
          <w:p>
            <w:pPr>
              <w:jc w:val="left"/>
            </w:pPr>
            <w:r>
              <w:rPr>
                <w:rFonts w:ascii="Microsoft YaHei" w:hAnsi="Microsoft YaHei" w:eastAsia="Microsoft YaHei"/>
                <w:color w:val="222222"/>
                <w:sz w:val="18"/>
              </w:rPr>
              <w:t>本周初因美伊谈判乐观信号油价暴跌：8/4布伦特跌5.3%至79.36、WTI跌5.7%至75.77；周三WTI触及74.24低点。8/7收盘WTI 77.08（周跌11.2%）、布伦特88.22（周跌9.44%）。8/10反弹：WTI涨5.05%至82.13、布伦特涨约5%至87.72。</w:t>
            </w:r>
            <w:r>
              <w:rPr>
                <w:rFonts w:ascii="Times New Roman" w:hAnsi="Times New Roman" w:eastAsia="Times New Roman"/>
                <w:i/>
                <w:color w:val="666666"/>
                <w:sz w:val="17"/>
              </w:rPr>
              <w:br/>
              <w:t>Early-week optimism on U.S.-Iran talks sent prices plunging: Aug 4 Brent -5.3% to 79.36, WTI -5.7% to 75.77; Wed WTI hit 74.24 low. Aug 7 close: WTI 77.08 (weekly -11.2%), Brent 88.22 (-9.44%). Aug 10 rebound: WTI +5.05% to 82.13, Brent ~+5% to 87.72.</w:t>
            </w:r>
          </w:p>
        </w:tc>
        <w:tc>
          <w:tcPr>
            <w:tcW w:type="dxa" w:w="3402"/>
            <w:vAlign w:val="center"/>
          </w:tcPr>
          <w:p>
            <w:pPr>
              <w:jc w:val="left"/>
            </w:pPr>
            <w:r>
              <w:rPr>
                <w:rFonts w:ascii="Microsoft YaHei" w:hAnsi="Microsoft YaHei" w:eastAsia="Microsoft YaHei"/>
                <w:color w:val="222222"/>
                <w:sz w:val="18"/>
              </w:rPr>
              <w:t>油价剧烈波动反映市场对霍尔木兹前景高度敏感；短期油价在地缘博弈中宽幅震荡，钢材成本端影响间接但显著。</w:t>
            </w:r>
            <w:r>
              <w:rPr>
                <w:rFonts w:ascii="Times New Roman" w:hAnsi="Times New Roman" w:eastAsia="Times New Roman"/>
                <w:i/>
                <w:color w:val="666666"/>
                <w:sz w:val="17"/>
              </w:rPr>
              <w:br/>
              <w:t>Oil price volatility reflects high market sensitivity to Hormuz outlook; short-term prices swinging widely on geopolitics; indirect but significant impact on steel costs.</w:t>
            </w:r>
          </w:p>
        </w:tc>
      </w:tr>
      <w:tr>
        <w:tc>
          <w:tcPr>
            <w:tcW w:type="dxa" w:w="1984"/>
            <w:vAlign w:val="center"/>
            <w:shd w:fill="F2F2F2"/>
          </w:tcPr>
          <w:p>
            <w:pPr>
              <w:jc w:val="left"/>
            </w:pPr>
            <w:r>
              <w:rPr>
                <w:rFonts w:ascii="Microsoft YaHei" w:hAnsi="Microsoft YaHei" w:eastAsia="Microsoft YaHei"/>
                <w:color w:val="222222"/>
                <w:sz w:val="18"/>
              </w:rPr>
              <w:t>美国SPR跌破3亿桶、特朗普延长琼斯法案豁免</w:t>
            </w:r>
            <w:r>
              <w:rPr>
                <w:rFonts w:ascii="Times New Roman" w:hAnsi="Times New Roman" w:eastAsia="Times New Roman"/>
                <w:i/>
                <w:color w:val="666666"/>
                <w:sz w:val="17"/>
              </w:rPr>
              <w:br/>
              <w:t>U.S. SPR falls below 300M barrels; Jones Act waiver extended</w:t>
            </w:r>
          </w:p>
        </w:tc>
        <w:tc>
          <w:tcPr>
            <w:tcW w:type="dxa" w:w="3969"/>
            <w:vAlign w:val="center"/>
            <w:shd w:fill="F2F2F2"/>
          </w:tcPr>
          <w:p>
            <w:pPr>
              <w:jc w:val="left"/>
            </w:pPr>
            <w:r>
              <w:rPr>
                <w:rFonts w:ascii="Microsoft YaHei" w:hAnsi="Microsoft YaHei" w:eastAsia="Microsoft YaHei"/>
                <w:color w:val="222222"/>
                <w:sz w:val="18"/>
              </w:rPr>
              <w:t>美国能源部8月10日公布SPR减少610万桶至2.987亿桶，为1983年1月以来最低。特朗普宣布《琼斯法案》豁免期再延长90天至11月中旬中期选举后，缩小豁免适用范围。</w:t>
            </w:r>
            <w:r>
              <w:rPr>
                <w:rFonts w:ascii="Times New Roman" w:hAnsi="Times New Roman" w:eastAsia="Times New Roman"/>
                <w:i/>
                <w:color w:val="666666"/>
                <w:sz w:val="17"/>
              </w:rPr>
              <w:br/>
              <w:t>U.S. DOE Aug 10: SPR down 6.1M barrels to 298.7M, lowest since Jan 1983. Trump extended Jones Act waiver 90 days to mid-November post-midterms, narrowing scope.</w:t>
            </w:r>
          </w:p>
        </w:tc>
        <w:tc>
          <w:tcPr>
            <w:tcW w:type="dxa" w:w="3402"/>
            <w:vAlign w:val="center"/>
            <w:shd w:fill="F2F2F2"/>
          </w:tcPr>
          <w:p>
            <w:pPr>
              <w:jc w:val="left"/>
            </w:pPr>
            <w:r>
              <w:rPr>
                <w:rFonts w:ascii="Microsoft YaHei" w:hAnsi="Microsoft YaHei" w:eastAsia="Microsoft YaHei"/>
                <w:color w:val="222222"/>
                <w:sz w:val="18"/>
              </w:rPr>
              <w:t>SPR库容7.14亿桶已释放1.72亿桶，仅余2.987亿桶逼近安全运转底线7000万桶；美国国内燃料运输保障承压。</w:t>
            </w:r>
            <w:r>
              <w:rPr>
                <w:rFonts w:ascii="Times New Roman" w:hAnsi="Times New Roman" w:eastAsia="Times New Roman"/>
                <w:i/>
                <w:color w:val="666666"/>
                <w:sz w:val="17"/>
              </w:rPr>
              <w:br/>
              <w:t>SPR capacity 714M barrels, 172M released, only 298.7M remaining approaching 70M safety floor; U.S. domestic fuel transport under pressure.</w:t>
            </w:r>
          </w:p>
        </w:tc>
      </w:tr>
      <w:tr>
        <w:tc>
          <w:tcPr>
            <w:tcW w:type="dxa" w:w="1984"/>
            <w:vAlign w:val="center"/>
          </w:tcPr>
          <w:p>
            <w:pPr>
              <w:jc w:val="left"/>
            </w:pPr>
            <w:r>
              <w:rPr>
                <w:rFonts w:ascii="Microsoft YaHei" w:hAnsi="Microsoft YaHei" w:eastAsia="Microsoft YaHei"/>
                <w:color w:val="222222"/>
                <w:sz w:val="18"/>
              </w:rPr>
              <w:t>OPEC+ 9月继续增产18.8万桶/日</w:t>
            </w:r>
            <w:r>
              <w:rPr>
                <w:rFonts w:ascii="Times New Roman" w:hAnsi="Times New Roman" w:eastAsia="Times New Roman"/>
                <w:i/>
                <w:color w:val="666666"/>
                <w:sz w:val="17"/>
              </w:rPr>
              <w:br/>
              <w:t>OPEC+ to raise output 188K bpd from September</w:t>
            </w:r>
          </w:p>
        </w:tc>
        <w:tc>
          <w:tcPr>
            <w:tcW w:type="dxa" w:w="3969"/>
            <w:vAlign w:val="center"/>
          </w:tcPr>
          <w:p>
            <w:pPr>
              <w:jc w:val="left"/>
            </w:pPr>
            <w:r>
              <w:rPr>
                <w:rFonts w:ascii="Microsoft YaHei" w:hAnsi="Microsoft YaHei" w:eastAsia="Microsoft YaHei"/>
                <w:color w:val="222222"/>
                <w:sz w:val="18"/>
              </w:rPr>
              <w:t>OPEC+ 8月2日批准9月起日均增产约18.8万桶/日，完成自愿减产回撤。但由于海湾、俄罗斯、哈萨克斯坦出口持续受冲突扰动，增产多数停留在纸面。</w:t>
            </w:r>
            <w:r>
              <w:rPr>
                <w:rFonts w:ascii="Times New Roman" w:hAnsi="Times New Roman" w:eastAsia="Times New Roman"/>
                <w:i/>
                <w:color w:val="666666"/>
                <w:sz w:val="17"/>
              </w:rPr>
              <w:br/>
              <w:t>OPEC+ approved ~188K bpd increase from Sep, completing voluntary cut unwind. But with Gulf, Russia and Kazakhstan exports disrupted by conflicts, increases remain largely on paper.</w:t>
            </w:r>
          </w:p>
        </w:tc>
        <w:tc>
          <w:tcPr>
            <w:tcW w:type="dxa" w:w="3402"/>
            <w:vAlign w:val="center"/>
          </w:tcPr>
          <w:p>
            <w:pPr>
              <w:jc w:val="left"/>
            </w:pPr>
            <w:r>
              <w:rPr>
                <w:rFonts w:ascii="Microsoft YaHei" w:hAnsi="Microsoft YaHei" w:eastAsia="Microsoft YaHei"/>
                <w:color w:val="222222"/>
                <w:sz w:val="18"/>
              </w:rPr>
              <w:t>增产幅度温和，对油价直接冲击有限；但叠加美伊谈判僵局，供应端边际宽松预期被重新评估。</w:t>
            </w:r>
            <w:r>
              <w:rPr>
                <w:rFonts w:ascii="Times New Roman" w:hAnsi="Times New Roman" w:eastAsia="Times New Roman"/>
                <w:i/>
                <w:color w:val="666666"/>
                <w:sz w:val="17"/>
              </w:rPr>
              <w:br/>
              <w:t>Modest increase with limited direct price impact; but combined with stalled U.S.-Iran talks, marginal supply easing expectations being reassessed.</w:t>
            </w:r>
          </w:p>
        </w:tc>
      </w:tr>
    </w:tbl>
    <w:p/>
    <w:p>
      <w:pPr>
        <w:spacing w:before="360" w:after="120"/>
      </w:pPr>
      <w:r>
        <w:rPr>
          <w:rFonts w:ascii="Microsoft YaHei" w:hAnsi="Microsoft YaHei" w:eastAsia="Microsoft YaHei"/>
          <w:b/>
          <w:color w:val="1A237E"/>
          <w:sz w:val="32"/>
        </w:rPr>
        <w:t>六、钢材库存指数</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1984"/>
            <w:shd w:fill="1A237E"/>
            <w:vAlign w:val="center"/>
          </w:tcPr>
          <w:p>
            <w:pPr>
              <w:jc w:val="center"/>
            </w:pPr>
            <w:r>
              <w:rPr>
                <w:rFonts w:ascii="Microsoft YaHei" w:hAnsi="Microsoft YaHei" w:eastAsia="Microsoft YaHei"/>
                <w:b/>
                <w:color w:val="FFFFFF"/>
                <w:sz w:val="18"/>
              </w:rPr>
              <w:t>指标 / Indicator</w:t>
            </w:r>
            <w:r>
              <w:rPr>
                <w:rFonts w:ascii="Times New Roman" w:hAnsi="Times New Roman" w:eastAsia="Times New Roman"/>
                <w:b/>
                <w:i/>
                <w:color w:val="DDDDDD"/>
                <w:sz w:val="17"/>
              </w:rPr>
              <w:br/>
              <w:t>Indicator</w:t>
            </w:r>
          </w:p>
        </w:tc>
        <w:tc>
          <w:tcPr>
            <w:tcW w:type="dxa" w:w="1701"/>
            <w:shd w:fill="1A237E"/>
            <w:vAlign w:val="center"/>
          </w:tcPr>
          <w:p>
            <w:pPr>
              <w:jc w:val="center"/>
            </w:pPr>
            <w:r>
              <w:rPr>
                <w:rFonts w:ascii="Microsoft YaHei" w:hAnsi="Microsoft YaHei" w:eastAsia="Microsoft YaHei"/>
                <w:b/>
                <w:color w:val="FFFFFF"/>
                <w:sz w:val="18"/>
              </w:rPr>
              <w:t>数值 / Value</w:t>
            </w:r>
            <w:r>
              <w:rPr>
                <w:rFonts w:ascii="Times New Roman" w:hAnsi="Times New Roman" w:eastAsia="Times New Roman"/>
                <w:b/>
                <w:i/>
                <w:color w:val="DDDDDD"/>
                <w:sz w:val="17"/>
              </w:rPr>
              <w:br/>
              <w:t>Value</w:t>
            </w:r>
          </w:p>
        </w:tc>
        <w:tc>
          <w:tcPr>
            <w:tcW w:type="dxa" w:w="1701"/>
            <w:shd w:fill="1A237E"/>
            <w:vAlign w:val="center"/>
          </w:tcPr>
          <w:p>
            <w:pPr>
              <w:jc w:val="center"/>
            </w:pPr>
            <w:r>
              <w:rPr>
                <w:rFonts w:ascii="Microsoft YaHei" w:hAnsi="Microsoft YaHei" w:eastAsia="Microsoft YaHei"/>
                <w:b/>
                <w:color w:val="FFFFFF"/>
                <w:sz w:val="18"/>
              </w:rPr>
              <w:t>环比 / WoW</w:t>
            </w:r>
            <w:r>
              <w:rPr>
                <w:rFonts w:ascii="Times New Roman" w:hAnsi="Times New Roman" w:eastAsia="Times New Roman"/>
                <w:b/>
                <w:i/>
                <w:color w:val="DDDDDD"/>
                <w:sz w:val="17"/>
              </w:rPr>
              <w:br/>
              <w:t>WoW</w:t>
            </w:r>
          </w:p>
        </w:tc>
        <w:tc>
          <w:tcPr>
            <w:tcW w:type="dxa" w:w="3969"/>
            <w:shd w:fill="1A237E"/>
            <w:vAlign w:val="center"/>
          </w:tcPr>
          <w:p>
            <w:pPr>
              <w:jc w:val="center"/>
            </w:pPr>
            <w:r>
              <w:rPr>
                <w:rFonts w:ascii="Microsoft YaHei" w:hAnsi="Microsoft YaHei" w:eastAsia="Microsoft YaHei"/>
                <w:b/>
                <w:color w:val="FFFFFF"/>
                <w:sz w:val="18"/>
              </w:rPr>
              <w:t>点评 / Comment</w:t>
            </w:r>
            <w:r>
              <w:rPr>
                <w:rFonts w:ascii="Times New Roman" w:hAnsi="Times New Roman" w:eastAsia="Times New Roman"/>
                <w:b/>
                <w:i/>
                <w:color w:val="DDDDDD"/>
                <w:sz w:val="17"/>
              </w:rPr>
              <w:br/>
              <w:t>Comment</w:t>
            </w:r>
          </w:p>
        </w:tc>
      </w:tr>
      <w:tr>
        <w:tc>
          <w:tcPr>
            <w:tcW w:type="dxa" w:w="1984"/>
            <w:vAlign w:val="center"/>
          </w:tcPr>
          <w:p>
            <w:pPr>
              <w:jc w:val="left"/>
            </w:pPr>
            <w:r>
              <w:rPr>
                <w:rFonts w:ascii="Microsoft YaHei" w:hAnsi="Microsoft YaHei" w:eastAsia="Microsoft YaHei"/>
                <w:color w:val="222222"/>
                <w:sz w:val="18"/>
              </w:rPr>
              <w:t>五大品种钢材供应</w:t>
            </w:r>
            <w:r>
              <w:rPr>
                <w:rFonts w:ascii="Times New Roman" w:hAnsi="Times New Roman" w:eastAsia="Times New Roman"/>
                <w:i/>
                <w:color w:val="666666"/>
                <w:sz w:val="17"/>
              </w:rPr>
              <w:br/>
              <w:t>Supply of 5 major steel products</w:t>
            </w:r>
          </w:p>
        </w:tc>
        <w:tc>
          <w:tcPr>
            <w:tcW w:type="dxa" w:w="1701"/>
            <w:vAlign w:val="center"/>
          </w:tcPr>
          <w:p>
            <w:pPr>
              <w:jc w:val="left"/>
            </w:pPr>
            <w:r>
              <w:rPr>
                <w:rFonts w:ascii="Microsoft YaHei" w:hAnsi="Microsoft YaHei" w:eastAsia="Microsoft YaHei"/>
                <w:color w:val="222222"/>
                <w:sz w:val="18"/>
              </w:rPr>
              <w:t>805.96万吨</w:t>
            </w:r>
            <w:r>
              <w:rPr>
                <w:rFonts w:ascii="Times New Roman" w:hAnsi="Times New Roman" w:eastAsia="Times New Roman"/>
                <w:i/>
                <w:color w:val="666666"/>
                <w:sz w:val="17"/>
              </w:rPr>
              <w:br/>
              <w:t>8.0596 Mt</w:t>
            </w:r>
          </w:p>
        </w:tc>
        <w:tc>
          <w:tcPr>
            <w:tcW w:type="dxa" w:w="1701"/>
            <w:vAlign w:val="center"/>
          </w:tcPr>
          <w:p>
            <w:pPr>
              <w:jc w:val="left"/>
            </w:pPr>
            <w:r>
              <w:rPr>
                <w:rFonts w:ascii="Microsoft YaHei" w:hAnsi="Microsoft YaHei" w:eastAsia="Microsoft YaHei"/>
                <w:color w:val="222222"/>
                <w:sz w:val="18"/>
              </w:rPr>
              <w:t>-12.34万吨（-1.5%）</w:t>
            </w:r>
            <w:r>
              <w:rPr>
                <w:rFonts w:ascii="Times New Roman" w:hAnsi="Times New Roman" w:eastAsia="Times New Roman"/>
                <w:i/>
                <w:color w:val="666666"/>
                <w:sz w:val="17"/>
              </w:rPr>
              <w:br/>
              <w:t>-0.1234 Mt (-1.5%)</w:t>
            </w:r>
          </w:p>
        </w:tc>
        <w:tc>
          <w:tcPr>
            <w:tcW w:type="dxa" w:w="3969"/>
            <w:vAlign w:val="center"/>
          </w:tcPr>
          <w:p>
            <w:pPr>
              <w:jc w:val="left"/>
            </w:pPr>
            <w:r>
              <w:rPr>
                <w:rFonts w:ascii="Microsoft YaHei" w:hAnsi="Microsoft YaHei" w:eastAsia="Microsoft YaHei"/>
                <w:color w:val="222222"/>
                <w:sz w:val="18"/>
              </w:rPr>
              <w:t>高炉、电炉利润持续亏损，除冷轧外各品种产量均减少，减产趋势明确加速。</w:t>
            </w:r>
            <w:r>
              <w:rPr>
                <w:rFonts w:ascii="Times New Roman" w:hAnsi="Times New Roman" w:eastAsia="Times New Roman"/>
                <w:i/>
                <w:color w:val="666666"/>
                <w:sz w:val="17"/>
              </w:rPr>
              <w:br/>
              <w:t>BF and EAF losses persisted; all products except CRC saw output cuts; production-cut trend accelerating.</w:t>
            </w:r>
          </w:p>
        </w:tc>
      </w:tr>
      <w:tr>
        <w:tc>
          <w:tcPr>
            <w:tcW w:type="dxa" w:w="1984"/>
            <w:vAlign w:val="center"/>
            <w:shd w:fill="F2F2F2"/>
          </w:tcPr>
          <w:p>
            <w:pPr>
              <w:jc w:val="left"/>
            </w:pPr>
            <w:r>
              <w:rPr>
                <w:rFonts w:ascii="Microsoft YaHei" w:hAnsi="Microsoft YaHei" w:eastAsia="Microsoft YaHei"/>
                <w:color w:val="222222"/>
                <w:sz w:val="18"/>
              </w:rPr>
              <w:t>五大品种总库存</w:t>
            </w:r>
            <w:r>
              <w:rPr>
                <w:rFonts w:ascii="Times New Roman" w:hAnsi="Times New Roman" w:eastAsia="Times New Roman"/>
                <w:i/>
                <w:color w:val="666666"/>
                <w:sz w:val="17"/>
              </w:rPr>
              <w:br/>
              <w:t>Total inventory of 5 major products</w:t>
            </w:r>
          </w:p>
        </w:tc>
        <w:tc>
          <w:tcPr>
            <w:tcW w:type="dxa" w:w="1701"/>
            <w:vAlign w:val="center"/>
            <w:shd w:fill="F2F2F2"/>
          </w:tcPr>
          <w:p>
            <w:pPr>
              <w:jc w:val="left"/>
            </w:pPr>
            <w:r>
              <w:rPr>
                <w:rFonts w:ascii="Microsoft YaHei" w:hAnsi="Microsoft YaHei" w:eastAsia="Microsoft YaHei"/>
                <w:color w:val="222222"/>
                <w:sz w:val="18"/>
              </w:rPr>
              <w:t>1653.19万吨</w:t>
            </w:r>
            <w:r>
              <w:rPr>
                <w:rFonts w:ascii="Times New Roman" w:hAnsi="Times New Roman" w:eastAsia="Times New Roman"/>
                <w:i/>
                <w:color w:val="666666"/>
                <w:sz w:val="17"/>
              </w:rPr>
              <w:br/>
              <w:t>16.5319 Mt</w:t>
            </w:r>
          </w:p>
        </w:tc>
        <w:tc>
          <w:tcPr>
            <w:tcW w:type="dxa" w:w="1701"/>
            <w:vAlign w:val="center"/>
            <w:shd w:fill="F2F2F2"/>
          </w:tcPr>
          <w:p>
            <w:pPr>
              <w:jc w:val="left"/>
            </w:pPr>
            <w:r>
              <w:rPr>
                <w:rFonts w:ascii="Microsoft YaHei" w:hAnsi="Microsoft YaHei" w:eastAsia="Microsoft YaHei"/>
                <w:color w:val="222222"/>
                <w:sz w:val="18"/>
              </w:rPr>
              <w:t>+17.37万吨（+1.1%）</w:t>
            </w:r>
            <w:r>
              <w:rPr>
                <w:rFonts w:ascii="Times New Roman" w:hAnsi="Times New Roman" w:eastAsia="Times New Roman"/>
                <w:i/>
                <w:color w:val="666666"/>
                <w:sz w:val="17"/>
              </w:rPr>
              <w:br/>
              <w:t>+0.1737 Mt (+1.1%)</w:t>
            </w:r>
          </w:p>
        </w:tc>
        <w:tc>
          <w:tcPr>
            <w:tcW w:type="dxa" w:w="3969"/>
            <w:vAlign w:val="center"/>
            <w:shd w:fill="F2F2F2"/>
          </w:tcPr>
          <w:p>
            <w:pPr>
              <w:jc w:val="left"/>
            </w:pPr>
            <w:r>
              <w:rPr>
                <w:rFonts w:ascii="Microsoft YaHei" w:hAnsi="Microsoft YaHei" w:eastAsia="Microsoft YaHei"/>
                <w:color w:val="222222"/>
                <w:sz w:val="18"/>
              </w:rPr>
              <w:t>厂库社库共振累库，同比增277.8万吨（+20.2%）；高库存成价格反弹主要阻力。</w:t>
            </w:r>
            <w:r>
              <w:rPr>
                <w:rFonts w:ascii="Times New Roman" w:hAnsi="Times New Roman" w:eastAsia="Times New Roman"/>
                <w:i/>
                <w:color w:val="666666"/>
                <w:sz w:val="17"/>
              </w:rPr>
              <w:br/>
              <w:t>Mill and social inventory both building; +2.778 Mt (+20.2% YoY); high inventory is main obstacle to price rebound.</w:t>
            </w:r>
          </w:p>
        </w:tc>
      </w:tr>
      <w:tr>
        <w:tc>
          <w:tcPr>
            <w:tcW w:type="dxa" w:w="1984"/>
            <w:vAlign w:val="center"/>
          </w:tcPr>
          <w:p>
            <w:pPr>
              <w:jc w:val="left"/>
            </w:pPr>
            <w:r>
              <w:rPr>
                <w:rFonts w:ascii="Microsoft YaHei" w:hAnsi="Microsoft YaHei" w:eastAsia="Microsoft YaHei"/>
                <w:color w:val="222222"/>
                <w:sz w:val="18"/>
              </w:rPr>
              <w:t>五大品种消费量</w:t>
            </w:r>
            <w:r>
              <w:rPr>
                <w:rFonts w:ascii="Times New Roman" w:hAnsi="Times New Roman" w:eastAsia="Times New Roman"/>
                <w:i/>
                <w:color w:val="666666"/>
                <w:sz w:val="17"/>
              </w:rPr>
              <w:br/>
              <w:t>Consumption of 5 major products</w:t>
            </w:r>
          </w:p>
        </w:tc>
        <w:tc>
          <w:tcPr>
            <w:tcW w:type="dxa" w:w="1701"/>
            <w:vAlign w:val="center"/>
          </w:tcPr>
          <w:p>
            <w:pPr>
              <w:jc w:val="left"/>
            </w:pPr>
            <w:r>
              <w:rPr>
                <w:rFonts w:ascii="Microsoft YaHei" w:hAnsi="Microsoft YaHei" w:eastAsia="Microsoft YaHei"/>
                <w:color w:val="222222"/>
                <w:sz w:val="18"/>
              </w:rPr>
              <w:t>788.59万吨</w:t>
            </w:r>
            <w:r>
              <w:rPr>
                <w:rFonts w:ascii="Times New Roman" w:hAnsi="Times New Roman" w:eastAsia="Times New Roman"/>
                <w:i/>
                <w:color w:val="666666"/>
                <w:sz w:val="17"/>
              </w:rPr>
              <w:br/>
              <w:t>7.8859 Mt</w:t>
            </w:r>
          </w:p>
        </w:tc>
        <w:tc>
          <w:tcPr>
            <w:tcW w:type="dxa" w:w="1701"/>
            <w:vAlign w:val="center"/>
          </w:tcPr>
          <w:p>
            <w:pPr>
              <w:jc w:val="left"/>
            </w:pPr>
            <w:r>
              <w:rPr>
                <w:rFonts w:ascii="Microsoft YaHei" w:hAnsi="Microsoft YaHei" w:eastAsia="Microsoft YaHei"/>
                <w:color w:val="222222"/>
                <w:sz w:val="18"/>
              </w:rPr>
              <w:t>-2.9%（建材-9.6%、板材+0.6%）</w:t>
            </w:r>
            <w:r>
              <w:rPr>
                <w:rFonts w:ascii="Times New Roman" w:hAnsi="Times New Roman" w:eastAsia="Times New Roman"/>
                <w:i/>
                <w:color w:val="666666"/>
                <w:sz w:val="17"/>
              </w:rPr>
              <w:br/>
              <w:t>-2.9% (building -9.6%, flat +0.6%)</w:t>
            </w:r>
          </w:p>
        </w:tc>
        <w:tc>
          <w:tcPr>
            <w:tcW w:type="dxa" w:w="3969"/>
            <w:vAlign w:val="center"/>
          </w:tcPr>
          <w:p>
            <w:pPr>
              <w:jc w:val="left"/>
            </w:pPr>
            <w:r>
              <w:rPr>
                <w:rFonts w:ascii="Microsoft YaHei" w:hAnsi="Microsoft YaHei" w:eastAsia="Microsoft YaHei"/>
                <w:color w:val="222222"/>
                <w:sz w:val="18"/>
              </w:rPr>
              <w:t>高温多雨+资金到位率连续四周下降，建材消费骤降；板材受益于制造业韧性微增。</w:t>
            </w:r>
            <w:r>
              <w:rPr>
                <w:rFonts w:ascii="Times New Roman" w:hAnsi="Times New Roman" w:eastAsia="Times New Roman"/>
                <w:i/>
                <w:color w:val="666666"/>
                <w:sz w:val="17"/>
              </w:rPr>
              <w:br/>
              <w:t>High temperatures/rainfall + fund availability falling 4 weeks; building steel consumption plunged; flat steel benefited from manufacturing resilience.</w:t>
            </w:r>
          </w:p>
        </w:tc>
      </w:tr>
      <w:tr>
        <w:tc>
          <w:tcPr>
            <w:tcW w:type="dxa" w:w="1984"/>
            <w:vAlign w:val="center"/>
            <w:shd w:fill="F2F2F2"/>
          </w:tcPr>
          <w:p>
            <w:pPr>
              <w:jc w:val="left"/>
            </w:pPr>
            <w:r>
              <w:rPr>
                <w:rFonts w:ascii="Microsoft YaHei" w:hAnsi="Microsoft YaHei" w:eastAsia="Microsoft YaHei"/>
                <w:color w:val="222222"/>
                <w:sz w:val="18"/>
              </w:rPr>
              <w:t>247家钢厂日均铁水</w:t>
            </w:r>
            <w:r>
              <w:rPr>
                <w:rFonts w:ascii="Times New Roman" w:hAnsi="Times New Roman" w:eastAsia="Times New Roman"/>
                <w:i/>
                <w:color w:val="666666"/>
                <w:sz w:val="17"/>
              </w:rPr>
              <w:br/>
              <w:t>Daily hot metal output (247 mills)</w:t>
            </w:r>
          </w:p>
        </w:tc>
        <w:tc>
          <w:tcPr>
            <w:tcW w:type="dxa" w:w="1701"/>
            <w:vAlign w:val="center"/>
            <w:shd w:fill="F2F2F2"/>
          </w:tcPr>
          <w:p>
            <w:pPr>
              <w:jc w:val="left"/>
            </w:pPr>
            <w:r>
              <w:rPr>
                <w:rFonts w:ascii="Microsoft YaHei" w:hAnsi="Microsoft YaHei" w:eastAsia="Microsoft YaHei"/>
                <w:color w:val="222222"/>
                <w:sz w:val="18"/>
              </w:rPr>
              <w:t>短期回升（唐山复产）</w:t>
            </w:r>
            <w:r>
              <w:rPr>
                <w:rFonts w:ascii="Times New Roman" w:hAnsi="Times New Roman" w:eastAsia="Times New Roman"/>
                <w:i/>
                <w:color w:val="666666"/>
                <w:sz w:val="17"/>
              </w:rPr>
              <w:br/>
              <w:t>Short-term rebound (Tangshan restart)</w:t>
            </w:r>
          </w:p>
        </w:tc>
        <w:tc>
          <w:tcPr>
            <w:tcW w:type="dxa" w:w="1701"/>
            <w:vAlign w:val="center"/>
            <w:shd w:fill="F2F2F2"/>
          </w:tcPr>
          <w:p>
            <w:pPr>
              <w:jc w:val="left"/>
            </w:pPr>
            <w:r>
              <w:rPr>
                <w:rFonts w:ascii="Microsoft YaHei" w:hAnsi="Microsoft YaHei" w:eastAsia="Microsoft YaHei"/>
                <w:color w:val="222222"/>
                <w:sz w:val="18"/>
              </w:rPr>
              <w:t>预计下周回落至235万吨</w:t>
            </w:r>
            <w:r>
              <w:rPr>
                <w:rFonts w:ascii="Times New Roman" w:hAnsi="Times New Roman" w:eastAsia="Times New Roman"/>
                <w:i/>
                <w:color w:val="666666"/>
                <w:sz w:val="17"/>
              </w:rPr>
              <w:br/>
              <w:t>Expected to fall back to ~2.35 Mt next week</w:t>
            </w:r>
          </w:p>
        </w:tc>
        <w:tc>
          <w:tcPr>
            <w:tcW w:type="dxa" w:w="3969"/>
            <w:vAlign w:val="center"/>
            <w:shd w:fill="F2F2F2"/>
          </w:tcPr>
          <w:p>
            <w:pPr>
              <w:jc w:val="left"/>
            </w:pPr>
            <w:r>
              <w:rPr>
                <w:rFonts w:ascii="Microsoft YaHei" w:hAnsi="Microsoft YaHei" w:eastAsia="Microsoft YaHei"/>
                <w:color w:val="222222"/>
                <w:sz w:val="18"/>
              </w:rPr>
              <w:t>唐山环保检修结束后高炉复产推动铁水短暂回升，但淡季负反馈逻辑未改，盈利率持续恶化将驱动再度减产。</w:t>
            </w:r>
            <w:r>
              <w:rPr>
                <w:rFonts w:ascii="Times New Roman" w:hAnsi="Times New Roman" w:eastAsia="Times New Roman"/>
                <w:i/>
                <w:color w:val="666666"/>
                <w:sz w:val="17"/>
              </w:rPr>
              <w:br/>
              <w:t>Tangshan environmental maintenance ending drove BF restarts and brief rebound; but off-season negative feedback unchanged; deteriorating profitability will drive renewed cuts.</w:t>
            </w:r>
          </w:p>
        </w:tc>
      </w:tr>
      <w:tr>
        <w:tc>
          <w:tcPr>
            <w:tcW w:type="dxa" w:w="1984"/>
            <w:vAlign w:val="center"/>
          </w:tcPr>
          <w:p>
            <w:pPr>
              <w:jc w:val="left"/>
            </w:pPr>
            <w:r>
              <w:rPr>
                <w:rFonts w:ascii="Microsoft YaHei" w:hAnsi="Microsoft YaHei" w:eastAsia="Microsoft YaHei"/>
                <w:color w:val="222222"/>
                <w:sz w:val="18"/>
              </w:rPr>
              <w:t>钢厂盈利率</w:t>
            </w:r>
            <w:r>
              <w:rPr>
                <w:rFonts w:ascii="Times New Roman" w:hAnsi="Times New Roman" w:eastAsia="Times New Roman"/>
                <w:i/>
                <w:color w:val="666666"/>
                <w:sz w:val="17"/>
              </w:rPr>
              <w:br/>
              <w:t>Mill profitability rate</w:t>
            </w:r>
          </w:p>
        </w:tc>
        <w:tc>
          <w:tcPr>
            <w:tcW w:type="dxa" w:w="1701"/>
            <w:vAlign w:val="center"/>
          </w:tcPr>
          <w:p>
            <w:pPr>
              <w:jc w:val="left"/>
            </w:pPr>
            <w:r>
              <w:rPr>
                <w:rFonts w:ascii="Microsoft YaHei" w:hAnsi="Microsoft YaHei" w:eastAsia="Microsoft YaHei"/>
                <w:color w:val="222222"/>
                <w:sz w:val="18"/>
              </w:rPr>
              <w:t>32.03%</w:t>
            </w:r>
            <w:r>
              <w:rPr>
                <w:rFonts w:ascii="Times New Roman" w:hAnsi="Times New Roman" w:eastAsia="Times New Roman"/>
                <w:i/>
                <w:color w:val="666666"/>
                <w:sz w:val="17"/>
              </w:rPr>
              <w:br/>
              <w:t>32.03%</w:t>
            </w:r>
          </w:p>
        </w:tc>
        <w:tc>
          <w:tcPr>
            <w:tcW w:type="dxa" w:w="1701"/>
            <w:vAlign w:val="center"/>
          </w:tcPr>
          <w:p>
            <w:pPr>
              <w:jc w:val="left"/>
            </w:pPr>
            <w:r>
              <w:rPr>
                <w:rFonts w:ascii="Microsoft YaHei" w:hAnsi="Microsoft YaHei" w:eastAsia="Microsoft YaHei"/>
                <w:color w:val="222222"/>
                <w:sz w:val="18"/>
              </w:rPr>
              <w:t>-1.74个百分点</w:t>
            </w:r>
            <w:r>
              <w:rPr>
                <w:rFonts w:ascii="Times New Roman" w:hAnsi="Times New Roman" w:eastAsia="Times New Roman"/>
                <w:i/>
                <w:color w:val="666666"/>
                <w:sz w:val="17"/>
              </w:rPr>
              <w:br/>
              <w:t>-1.74pp</w:t>
            </w:r>
          </w:p>
        </w:tc>
        <w:tc>
          <w:tcPr>
            <w:tcW w:type="dxa" w:w="3969"/>
            <w:vAlign w:val="center"/>
          </w:tcPr>
          <w:p>
            <w:pPr>
              <w:jc w:val="left"/>
            </w:pPr>
            <w:r>
              <w:rPr>
                <w:rFonts w:ascii="Microsoft YaHei" w:hAnsi="Microsoft YaHei" w:eastAsia="Microsoft YaHei"/>
                <w:color w:val="222222"/>
                <w:sz w:val="18"/>
              </w:rPr>
              <w:t>盈利率降至近两年低位（8.8%分位），螺纹利润-117元/吨、热卷利润-34元/吨；近七成钢厂亏损。</w:t>
            </w:r>
            <w:r>
              <w:rPr>
                <w:rFonts w:ascii="Times New Roman" w:hAnsi="Times New Roman" w:eastAsia="Times New Roman"/>
                <w:i/>
                <w:color w:val="666666"/>
                <w:sz w:val="17"/>
              </w:rPr>
              <w:br/>
              <w:t>Profitability at near-two-year low (8.8 percentile); rebar profit -117 yuan/t, HRC -34 yuan/t; nearly 70% mills loss-making.</w:t>
            </w:r>
          </w:p>
        </w:tc>
      </w:tr>
      <w:tr>
        <w:tc>
          <w:tcPr>
            <w:tcW w:type="dxa" w:w="1984"/>
            <w:vAlign w:val="center"/>
            <w:shd w:fill="F2F2F2"/>
          </w:tcPr>
          <w:p>
            <w:pPr>
              <w:jc w:val="left"/>
            </w:pPr>
            <w:r>
              <w:rPr>
                <w:rFonts w:ascii="Microsoft YaHei" w:hAnsi="Microsoft YaHei" w:eastAsia="Microsoft YaHei"/>
                <w:color w:val="222222"/>
                <w:sz w:val="18"/>
              </w:rPr>
              <w:t>铁矿石47港库存</w:t>
            </w:r>
            <w:r>
              <w:rPr>
                <w:rFonts w:ascii="Times New Roman" w:hAnsi="Times New Roman" w:eastAsia="Times New Roman"/>
                <w:i/>
                <w:color w:val="666666"/>
                <w:sz w:val="17"/>
              </w:rPr>
              <w:br/>
              <w:t>Iron ore 47-port inventory</w:t>
            </w:r>
          </w:p>
        </w:tc>
        <w:tc>
          <w:tcPr>
            <w:tcW w:type="dxa" w:w="1701"/>
            <w:vAlign w:val="center"/>
            <w:shd w:fill="F2F2F2"/>
          </w:tcPr>
          <w:p>
            <w:pPr>
              <w:jc w:val="left"/>
            </w:pPr>
            <w:r>
              <w:rPr>
                <w:rFonts w:ascii="Microsoft YaHei" w:hAnsi="Microsoft YaHei" w:eastAsia="Microsoft YaHei"/>
                <w:color w:val="222222"/>
                <w:sz w:val="18"/>
              </w:rPr>
              <w:t>1.75亿吨</w:t>
            </w:r>
            <w:r>
              <w:rPr>
                <w:rFonts w:ascii="Times New Roman" w:hAnsi="Times New Roman" w:eastAsia="Times New Roman"/>
                <w:i/>
                <w:color w:val="666666"/>
                <w:sz w:val="17"/>
              </w:rPr>
              <w:br/>
              <w:t>175 Mt</w:t>
            </w:r>
          </w:p>
        </w:tc>
        <w:tc>
          <w:tcPr>
            <w:tcW w:type="dxa" w:w="1701"/>
            <w:vAlign w:val="center"/>
            <w:shd w:fill="F2F2F2"/>
          </w:tcPr>
          <w:p>
            <w:pPr>
              <w:jc w:val="left"/>
            </w:pPr>
            <w:r>
              <w:rPr>
                <w:rFonts w:ascii="Microsoft YaHei" w:hAnsi="Microsoft YaHei" w:eastAsia="Microsoft YaHei"/>
                <w:color w:val="222222"/>
                <w:sz w:val="18"/>
              </w:rPr>
              <w:t>+100万吨</w:t>
            </w:r>
            <w:r>
              <w:rPr>
                <w:rFonts w:ascii="Times New Roman" w:hAnsi="Times New Roman" w:eastAsia="Times New Roman"/>
                <w:i/>
                <w:color w:val="666666"/>
                <w:sz w:val="17"/>
              </w:rPr>
              <w:br/>
              <w:t>+1.0 Mt</w:t>
            </w:r>
          </w:p>
        </w:tc>
        <w:tc>
          <w:tcPr>
            <w:tcW w:type="dxa" w:w="3969"/>
            <w:vAlign w:val="center"/>
            <w:shd w:fill="F2F2F2"/>
          </w:tcPr>
          <w:p>
            <w:pPr>
              <w:jc w:val="left"/>
            </w:pPr>
            <w:r>
              <w:rPr>
                <w:rFonts w:ascii="Microsoft YaHei" w:hAnsi="Microsoft YaHei" w:eastAsia="Microsoft YaHei"/>
                <w:color w:val="222222"/>
                <w:sz w:val="18"/>
              </w:rPr>
              <w:t>港口库存持续累加，供强需弱格局未改；45港疏港量335.82万吨创近7周新高。</w:t>
            </w:r>
            <w:r>
              <w:rPr>
                <w:rFonts w:ascii="Times New Roman" w:hAnsi="Times New Roman" w:eastAsia="Times New Roman"/>
                <w:i/>
                <w:color w:val="666666"/>
                <w:sz w:val="17"/>
              </w:rPr>
              <w:br/>
              <w:t>Port inventory continued building; supply strong, demand weak; 45-port daily dispatch 335,820 t, highest in 7 weeks.</w:t>
            </w:r>
          </w:p>
        </w:tc>
      </w:tr>
      <w:tr>
        <w:tc>
          <w:tcPr>
            <w:tcW w:type="dxa" w:w="1984"/>
            <w:vAlign w:val="center"/>
          </w:tcPr>
          <w:p>
            <w:pPr>
              <w:jc w:val="left"/>
            </w:pPr>
            <w:r>
              <w:rPr>
                <w:rFonts w:ascii="Microsoft YaHei" w:hAnsi="Microsoft YaHei" w:eastAsia="Microsoft YaHei"/>
                <w:color w:val="222222"/>
                <w:sz w:val="18"/>
              </w:rPr>
              <w:t>焦炭总库存</w:t>
            </w:r>
            <w:r>
              <w:rPr>
                <w:rFonts w:ascii="Times New Roman" w:hAnsi="Times New Roman" w:eastAsia="Times New Roman"/>
                <w:i/>
                <w:color w:val="666666"/>
                <w:sz w:val="17"/>
              </w:rPr>
              <w:br/>
              <w:t>Total coke inventory</w:t>
            </w:r>
          </w:p>
        </w:tc>
        <w:tc>
          <w:tcPr>
            <w:tcW w:type="dxa" w:w="1701"/>
            <w:vAlign w:val="center"/>
          </w:tcPr>
          <w:p>
            <w:pPr>
              <w:jc w:val="left"/>
            </w:pPr>
            <w:r>
              <w:rPr>
                <w:rFonts w:ascii="Microsoft YaHei" w:hAnsi="Microsoft YaHei" w:eastAsia="Microsoft YaHei"/>
                <w:color w:val="222222"/>
                <w:sz w:val="18"/>
              </w:rPr>
              <w:t>1081.75万吨</w:t>
            </w:r>
            <w:r>
              <w:rPr>
                <w:rFonts w:ascii="Times New Roman" w:hAnsi="Times New Roman" w:eastAsia="Times New Roman"/>
                <w:i/>
                <w:color w:val="666666"/>
                <w:sz w:val="17"/>
              </w:rPr>
              <w:br/>
              <w:t>10.8175 Mt</w:t>
            </w:r>
          </w:p>
        </w:tc>
        <w:tc>
          <w:tcPr>
            <w:tcW w:type="dxa" w:w="1701"/>
            <w:vAlign w:val="center"/>
          </w:tcPr>
          <w:p>
            <w:pPr>
              <w:jc w:val="left"/>
            </w:pPr>
            <w:r>
              <w:rPr>
                <w:rFonts w:ascii="Microsoft YaHei" w:hAnsi="Microsoft YaHei" w:eastAsia="Microsoft YaHei"/>
                <w:color w:val="222222"/>
                <w:sz w:val="18"/>
              </w:rPr>
              <w:t>+4.63万吨（同比+11.9%）</w:t>
            </w:r>
            <w:r>
              <w:rPr>
                <w:rFonts w:ascii="Times New Roman" w:hAnsi="Times New Roman" w:eastAsia="Times New Roman"/>
                <w:i/>
                <w:color w:val="666666"/>
                <w:sz w:val="17"/>
              </w:rPr>
              <w:br/>
              <w:t>+0.0463 Mt (+11.9% YoY)</w:t>
            </w:r>
          </w:p>
        </w:tc>
        <w:tc>
          <w:tcPr>
            <w:tcW w:type="dxa" w:w="3969"/>
            <w:vAlign w:val="center"/>
          </w:tcPr>
          <w:p>
            <w:pPr>
              <w:jc w:val="left"/>
            </w:pPr>
            <w:r>
              <w:rPr>
                <w:rFonts w:ascii="Microsoft YaHei" w:hAnsi="Microsoft YaHei" w:eastAsia="Microsoft YaHei"/>
                <w:color w:val="222222"/>
                <w:sz w:val="18"/>
              </w:rPr>
              <w:t>独立焦企厂库133.74万吨（+10.14万吨）攀升至近三年同期高位；第三轮提降落地，第四轮可能存在博弈。</w:t>
            </w:r>
            <w:r>
              <w:rPr>
                <w:rFonts w:ascii="Times New Roman" w:hAnsi="Times New Roman" w:eastAsia="Times New Roman"/>
                <w:i/>
                <w:color w:val="666666"/>
                <w:sz w:val="17"/>
              </w:rPr>
              <w:br/>
              <w:t>Independent coke plant inventory 1.3374 Mt (+0.1014 Mt) at 3-year high; 3rd price cut implemented, 4th round may see pushback.</w:t>
            </w:r>
          </w:p>
        </w:tc>
      </w:tr>
    </w:tbl>
    <w:p/>
    <w:p>
      <w:pPr>
        <w:spacing w:before="360" w:after="120"/>
      </w:pPr>
      <w:r>
        <w:rPr>
          <w:rFonts w:ascii="Microsoft YaHei" w:hAnsi="Microsoft YaHei" w:eastAsia="Microsoft YaHei"/>
          <w:b/>
          <w:color w:val="1A237E"/>
          <w:sz w:val="32"/>
        </w:rPr>
        <w:t>七、本周展望</w:t>
      </w:r>
    </w:p>
    <w:p>
      <w:pPr>
        <w:spacing w:before="240" w:after="80"/>
      </w:pPr>
      <w:r>
        <w:rPr>
          <w:rFonts w:ascii="Microsoft YaHei" w:hAnsi="Microsoft YaHei" w:eastAsia="Microsoft YaHei"/>
          <w:b/>
          <w:color w:val="C00000"/>
          <w:sz w:val="24"/>
        </w:rPr>
        <w:t>7.1 多空因素分析 Bull &amp; Bear Factor Analysis</w:t>
      </w:r>
    </w:p>
    <w:tbl>
      <w:tblPr>
        <w:tblStyle w:val="TableGrid"/>
        <w:tblW w:type="auto" w:w="0"/>
        <w:jc w:val="center"/>
        <w:tblLook w:firstColumn="1" w:firstRow="1" w:lastColumn="0" w:lastRow="0" w:noHBand="0" w:noVBand="1" w:val="04A0"/>
      </w:tblPr>
      <w:tblGrid>
        <w:gridCol w:w="3213"/>
        <w:gridCol w:w="3213"/>
        <w:gridCol w:w="3213"/>
      </w:tblGrid>
      <w:tr>
        <w:tc>
          <w:tcPr>
            <w:tcW w:type="dxa" w:w="1984"/>
            <w:shd w:fill="1A237E"/>
            <w:vAlign w:val="center"/>
          </w:tcPr>
          <w:p>
            <w:pPr>
              <w:jc w:val="center"/>
            </w:pPr>
            <w:r>
              <w:rPr>
                <w:rFonts w:ascii="Microsoft YaHei" w:hAnsi="Microsoft YaHei" w:eastAsia="Microsoft YaHei"/>
                <w:b/>
                <w:color w:val="FFFFFF"/>
                <w:sz w:val="18"/>
              </w:rPr>
              <w:t>因素 / Factor</w:t>
            </w:r>
            <w:r>
              <w:rPr>
                <w:rFonts w:ascii="Times New Roman" w:hAnsi="Times New Roman" w:eastAsia="Times New Roman"/>
                <w:b/>
                <w:i/>
                <w:color w:val="DDDDDD"/>
                <w:sz w:val="17"/>
              </w:rPr>
              <w:br/>
              <w:t>Factor</w:t>
            </w:r>
          </w:p>
        </w:tc>
        <w:tc>
          <w:tcPr>
            <w:tcW w:type="dxa" w:w="1701"/>
            <w:shd w:fill="1A237E"/>
            <w:vAlign w:val="center"/>
          </w:tcPr>
          <w:p>
            <w:pPr>
              <w:jc w:val="center"/>
            </w:pPr>
            <w:r>
              <w:rPr>
                <w:rFonts w:ascii="Microsoft YaHei" w:hAnsi="Microsoft YaHei" w:eastAsia="Microsoft YaHei"/>
                <w:b/>
                <w:color w:val="FFFFFF"/>
                <w:sz w:val="18"/>
              </w:rPr>
              <w:t>方向 / Direction</w:t>
            </w:r>
            <w:r>
              <w:rPr>
                <w:rFonts w:ascii="Times New Roman" w:hAnsi="Times New Roman" w:eastAsia="Times New Roman"/>
                <w:b/>
                <w:i/>
                <w:color w:val="DDDDDD"/>
                <w:sz w:val="17"/>
              </w:rPr>
              <w:br/>
              <w:t>Direction</w:t>
            </w:r>
          </w:p>
        </w:tc>
        <w:tc>
          <w:tcPr>
            <w:tcW w:type="dxa" w:w="5669"/>
            <w:shd w:fill="1A237E"/>
            <w:vAlign w:val="center"/>
          </w:tcPr>
          <w:p>
            <w:pPr>
              <w:jc w:val="center"/>
            </w:pPr>
            <w:r>
              <w:rPr>
                <w:rFonts w:ascii="Microsoft YaHei" w:hAnsi="Microsoft YaHei" w:eastAsia="Microsoft YaHei"/>
                <w:b/>
                <w:color w:val="FFFFFF"/>
                <w:sz w:val="18"/>
              </w:rPr>
              <w:t>逻辑 / Logic</w:t>
            </w:r>
            <w:r>
              <w:rPr>
                <w:rFonts w:ascii="Times New Roman" w:hAnsi="Times New Roman" w:eastAsia="Times New Roman"/>
                <w:b/>
                <w:i/>
                <w:color w:val="DDDDDD"/>
                <w:sz w:val="17"/>
              </w:rPr>
              <w:br/>
              <w:t>Logic</w:t>
            </w:r>
          </w:p>
        </w:tc>
      </w:tr>
      <w:tr>
        <w:tc>
          <w:tcPr>
            <w:tcW w:type="dxa" w:w="1984"/>
            <w:vAlign w:val="center"/>
          </w:tcPr>
          <w:p>
            <w:pPr>
              <w:jc w:val="left"/>
            </w:pPr>
            <w:r>
              <w:rPr>
                <w:rFonts w:ascii="Microsoft YaHei" w:hAnsi="Microsoft YaHei" w:eastAsia="Microsoft YaHei"/>
                <w:color w:val="222222"/>
                <w:sz w:val="18"/>
              </w:rPr>
              <w:t>钢厂减产持续扩大、盈利率跌破33%</w:t>
            </w:r>
            <w:r>
              <w:rPr>
                <w:rFonts w:ascii="Times New Roman" w:hAnsi="Times New Roman" w:eastAsia="Times New Roman"/>
                <w:i/>
                <w:color w:val="666666"/>
                <w:sz w:val="17"/>
              </w:rPr>
              <w:br/>
              <w:t>Expanding cuts; profitability below 33%</w:t>
            </w:r>
          </w:p>
        </w:tc>
        <w:tc>
          <w:tcPr>
            <w:tcW w:type="dxa" w:w="1701"/>
            <w:vAlign w:val="center"/>
          </w:tcPr>
          <w:p>
            <w:pPr>
              <w:jc w:val="left"/>
            </w:pPr>
            <w:r>
              <w:rPr>
                <w:rFonts w:ascii="Microsoft YaHei" w:hAnsi="Microsoft YaHei" w:eastAsia="Microsoft YaHei"/>
                <w:color w:val="222222"/>
                <w:sz w:val="18"/>
              </w:rPr>
              <w:t>利多 / Bullish</w:t>
            </w:r>
            <w:r>
              <w:rPr>
                <w:rFonts w:ascii="Times New Roman" w:hAnsi="Times New Roman" w:eastAsia="Times New Roman"/>
                <w:i/>
                <w:color w:val="666666"/>
                <w:sz w:val="17"/>
              </w:rPr>
              <w:br/>
              <w:t>Bullish</w:t>
            </w:r>
          </w:p>
        </w:tc>
        <w:tc>
          <w:tcPr>
            <w:tcW w:type="dxa" w:w="5669"/>
            <w:vAlign w:val="center"/>
          </w:tcPr>
          <w:p>
            <w:pPr>
              <w:jc w:val="left"/>
            </w:pPr>
            <w:r>
              <w:rPr>
                <w:rFonts w:ascii="Microsoft YaHei" w:hAnsi="Microsoft YaHei" w:eastAsia="Microsoft YaHei"/>
                <w:color w:val="222222"/>
                <w:sz w:val="18"/>
              </w:rPr>
              <w:t>盈利率降至32.03%近两年低位，近七成钢厂亏损，8月中下旬仍有检修计划；供给端收缩为后期价格修复积蓄动力。</w:t>
            </w:r>
            <w:r>
              <w:rPr>
                <w:rFonts w:ascii="Times New Roman" w:hAnsi="Times New Roman" w:eastAsia="Times New Roman"/>
                <w:i/>
                <w:color w:val="666666"/>
                <w:sz w:val="17"/>
              </w:rPr>
              <w:br/>
              <w:t>Profitability at 32.03%, near-two-year low; nearly 70% mills loss-making; more maintenance planned for mid-late Aug; supply contraction building repair momentum.</w:t>
            </w:r>
          </w:p>
        </w:tc>
      </w:tr>
      <w:tr>
        <w:tc>
          <w:tcPr>
            <w:tcW w:type="dxa" w:w="1984"/>
            <w:vAlign w:val="center"/>
            <w:shd w:fill="F2F2F2"/>
          </w:tcPr>
          <w:p>
            <w:pPr>
              <w:jc w:val="left"/>
            </w:pPr>
            <w:r>
              <w:rPr>
                <w:rFonts w:ascii="Microsoft YaHei" w:hAnsi="Microsoft YaHei" w:eastAsia="Microsoft YaHei"/>
                <w:color w:val="222222"/>
                <w:sz w:val="18"/>
              </w:rPr>
              <w:t>焦炭第三轮提降落地、成本中枢下移</w:t>
            </w:r>
            <w:r>
              <w:rPr>
                <w:rFonts w:ascii="Times New Roman" w:hAnsi="Times New Roman" w:eastAsia="Times New Roman"/>
                <w:i/>
                <w:color w:val="666666"/>
                <w:sz w:val="17"/>
              </w:rPr>
              <w:br/>
              <w:t>Third coke price cut implemented; cost center moving lower</w:t>
            </w:r>
          </w:p>
        </w:tc>
        <w:tc>
          <w:tcPr>
            <w:tcW w:type="dxa" w:w="1701"/>
            <w:vAlign w:val="center"/>
            <w:shd w:fill="F2F2F2"/>
          </w:tcPr>
          <w:p>
            <w:pPr>
              <w:jc w:val="left"/>
            </w:pPr>
            <w:r>
              <w:rPr>
                <w:rFonts w:ascii="Microsoft YaHei" w:hAnsi="Microsoft YaHei" w:eastAsia="Microsoft YaHei"/>
                <w:color w:val="222222"/>
                <w:sz w:val="18"/>
              </w:rPr>
              <w:t>利多（钢厂）/利空（焦化） / Bullish (mills) / Bearish (cokers)</w:t>
            </w:r>
            <w:r>
              <w:rPr>
                <w:rFonts w:ascii="Times New Roman" w:hAnsi="Times New Roman" w:eastAsia="Times New Roman"/>
                <w:i/>
                <w:color w:val="666666"/>
                <w:sz w:val="17"/>
              </w:rPr>
              <w:br/>
              <w:t>Bullish (mills) / Bearish (cokers)</w:t>
            </w:r>
          </w:p>
        </w:tc>
        <w:tc>
          <w:tcPr>
            <w:tcW w:type="dxa" w:w="5669"/>
            <w:vAlign w:val="center"/>
            <w:shd w:fill="F2F2F2"/>
          </w:tcPr>
          <w:p>
            <w:pPr>
              <w:jc w:val="left"/>
            </w:pPr>
            <w:r>
              <w:rPr>
                <w:rFonts w:ascii="Microsoft YaHei" w:hAnsi="Microsoft YaHei" w:eastAsia="Microsoft YaHei"/>
                <w:color w:val="222222"/>
                <w:sz w:val="18"/>
              </w:rPr>
              <w:t>焦炭第三轮提降落地，独立焦企厂库攀升至近三年高位；第四轮提降可能存在博弈，原料成本松动缓解钢厂亏损。</w:t>
            </w:r>
            <w:r>
              <w:rPr>
                <w:rFonts w:ascii="Times New Roman" w:hAnsi="Times New Roman" w:eastAsia="Times New Roman"/>
                <w:i/>
                <w:color w:val="666666"/>
                <w:sz w:val="17"/>
              </w:rPr>
              <w:br/>
              <w:t>Third coke cut implemented; independent coker inventory at 3-year high; 4th round may see pushback; easing raw material costs relieve mill losses.</w:t>
            </w:r>
          </w:p>
        </w:tc>
      </w:tr>
      <w:tr>
        <w:tc>
          <w:tcPr>
            <w:tcW w:type="dxa" w:w="1984"/>
            <w:vAlign w:val="center"/>
          </w:tcPr>
          <w:p>
            <w:pPr>
              <w:jc w:val="left"/>
            </w:pPr>
            <w:r>
              <w:rPr>
                <w:rFonts w:ascii="Microsoft YaHei" w:hAnsi="Microsoft YaHei" w:eastAsia="Microsoft YaHei"/>
                <w:color w:val="222222"/>
                <w:sz w:val="18"/>
              </w:rPr>
              <w:t>原油周跌后周一暴涨、地缘溢价波动剧烈</w:t>
            </w:r>
            <w:r>
              <w:rPr>
                <w:rFonts w:ascii="Times New Roman" w:hAnsi="Times New Roman" w:eastAsia="Times New Roman"/>
                <w:i/>
                <w:color w:val="666666"/>
                <w:sz w:val="17"/>
              </w:rPr>
              <w:br/>
              <w:t>Oil weekly drop then Monday surge; geopolitical premium volatile</w:t>
            </w:r>
          </w:p>
        </w:tc>
        <w:tc>
          <w:tcPr>
            <w:tcW w:type="dxa" w:w="1701"/>
            <w:vAlign w:val="center"/>
          </w:tcPr>
          <w:p>
            <w:pPr>
              <w:jc w:val="left"/>
            </w:pPr>
            <w:r>
              <w:rPr>
                <w:rFonts w:ascii="Microsoft YaHei" w:hAnsi="Microsoft YaHei" w:eastAsia="Microsoft YaHei"/>
                <w:color w:val="222222"/>
                <w:sz w:val="18"/>
              </w:rPr>
              <w:t>中性偏多 / Neutral to slightly bullish</w:t>
            </w:r>
            <w:r>
              <w:rPr>
                <w:rFonts w:ascii="Times New Roman" w:hAnsi="Times New Roman" w:eastAsia="Times New Roman"/>
                <w:i/>
                <w:color w:val="666666"/>
                <w:sz w:val="17"/>
              </w:rPr>
              <w:br/>
              <w:t>Neutral to slightly bullish</w:t>
            </w:r>
          </w:p>
        </w:tc>
        <w:tc>
          <w:tcPr>
            <w:tcW w:type="dxa" w:w="5669"/>
            <w:vAlign w:val="center"/>
          </w:tcPr>
          <w:p>
            <w:pPr>
              <w:jc w:val="left"/>
            </w:pPr>
            <w:r>
              <w:rPr>
                <w:rFonts w:ascii="Microsoft YaHei" w:hAnsi="Microsoft YaHei" w:eastAsia="Microsoft YaHei"/>
                <w:color w:val="222222"/>
                <w:sz w:val="18"/>
              </w:rPr>
              <w:t>布伦特周跌9.44%后8/10单日反弹5%至87.72美元；美伊谈判僵局使地缘风险并未实质消除，油价高位震荡对钢材成本端形成间接支撑。</w:t>
            </w:r>
            <w:r>
              <w:rPr>
                <w:rFonts w:ascii="Times New Roman" w:hAnsi="Times New Roman" w:eastAsia="Times New Roman"/>
                <w:i/>
                <w:color w:val="666666"/>
                <w:sz w:val="17"/>
              </w:rPr>
              <w:br/>
              <w:t>Brent -9.44% weekly then +5% on Aug 10 to USD 87.72; stalled U.S.-Iran talks mean geopolitical risk persists; high oil prices indirectly support steel costs.</w:t>
            </w:r>
          </w:p>
        </w:tc>
      </w:tr>
      <w:tr>
        <w:tc>
          <w:tcPr>
            <w:tcW w:type="dxa" w:w="1984"/>
            <w:vAlign w:val="center"/>
            <w:shd w:fill="F2F2F2"/>
          </w:tcPr>
          <w:p>
            <w:pPr>
              <w:jc w:val="left"/>
            </w:pPr>
            <w:r>
              <w:rPr>
                <w:rFonts w:ascii="Microsoft YaHei" w:hAnsi="Microsoft YaHei" w:eastAsia="Microsoft YaHei"/>
                <w:color w:val="222222"/>
                <w:sz w:val="18"/>
              </w:rPr>
              <w:t>BDI周线大涨13.1%、海岬型暴涨19.4%</w:t>
            </w:r>
            <w:r>
              <w:rPr>
                <w:rFonts w:ascii="Times New Roman" w:hAnsi="Times New Roman" w:eastAsia="Times New Roman"/>
                <w:i/>
                <w:color w:val="666666"/>
                <w:sz w:val="17"/>
              </w:rPr>
              <w:br/>
              <w:t>BDI weekly surge 13.1%; Capesize +19.4%</w:t>
            </w:r>
          </w:p>
        </w:tc>
        <w:tc>
          <w:tcPr>
            <w:tcW w:type="dxa" w:w="1701"/>
            <w:vAlign w:val="center"/>
            <w:shd w:fill="F2F2F2"/>
          </w:tcPr>
          <w:p>
            <w:pPr>
              <w:jc w:val="left"/>
            </w:pPr>
            <w:r>
              <w:rPr>
                <w:rFonts w:ascii="Microsoft YaHei" w:hAnsi="Microsoft YaHei" w:eastAsia="Microsoft YaHei"/>
                <w:color w:val="222222"/>
                <w:sz w:val="18"/>
              </w:rPr>
              <w:t>偏多 / Slightly bullish</w:t>
            </w:r>
            <w:r>
              <w:rPr>
                <w:rFonts w:ascii="Times New Roman" w:hAnsi="Times New Roman" w:eastAsia="Times New Roman"/>
                <w:i/>
                <w:color w:val="666666"/>
                <w:sz w:val="17"/>
              </w:rPr>
              <w:br/>
              <w:t>Slightly bullish</w:t>
            </w:r>
          </w:p>
        </w:tc>
        <w:tc>
          <w:tcPr>
            <w:tcW w:type="dxa" w:w="5669"/>
            <w:vAlign w:val="center"/>
            <w:shd w:fill="F2F2F2"/>
          </w:tcPr>
          <w:p>
            <w:pPr>
              <w:jc w:val="left"/>
            </w:pPr>
            <w:r>
              <w:rPr>
                <w:rFonts w:ascii="Microsoft YaHei" w:hAnsi="Microsoft YaHei" w:eastAsia="Microsoft YaHei"/>
                <w:color w:val="222222"/>
                <w:sz w:val="18"/>
              </w:rPr>
              <w:t>BDI创6月3日以来新高，矿商抢舱预示铁矿石贸易活跃度回升，对原料成本形成阶段性支撑。</w:t>
            </w:r>
            <w:r>
              <w:rPr>
                <w:rFonts w:ascii="Times New Roman" w:hAnsi="Times New Roman" w:eastAsia="Times New Roman"/>
                <w:i/>
                <w:color w:val="666666"/>
                <w:sz w:val="17"/>
              </w:rPr>
              <w:br/>
              <w:t>BDI at Jun 3 high; miner front-loading signals iron ore trade recovery, providing阶段性 support for raw material costs.</w:t>
            </w:r>
          </w:p>
        </w:tc>
      </w:tr>
      <w:tr>
        <w:tc>
          <w:tcPr>
            <w:tcW w:type="dxa" w:w="1984"/>
            <w:vAlign w:val="center"/>
          </w:tcPr>
          <w:p>
            <w:pPr>
              <w:jc w:val="left"/>
            </w:pPr>
            <w:r>
              <w:rPr>
                <w:rFonts w:ascii="Microsoft YaHei" w:hAnsi="Microsoft YaHei" w:eastAsia="Microsoft YaHei"/>
                <w:color w:val="222222"/>
                <w:sz w:val="18"/>
              </w:rPr>
              <w:t>高库存同比+20%持续压制</w:t>
            </w:r>
            <w:r>
              <w:rPr>
                <w:rFonts w:ascii="Times New Roman" w:hAnsi="Times New Roman" w:eastAsia="Times New Roman"/>
                <w:i/>
                <w:color w:val="666666"/>
                <w:sz w:val="17"/>
              </w:rPr>
              <w:br/>
              <w:t>High inventory +20% YoY persistently pressuring</w:t>
            </w:r>
          </w:p>
        </w:tc>
        <w:tc>
          <w:tcPr>
            <w:tcW w:type="dxa" w:w="1701"/>
            <w:vAlign w:val="center"/>
          </w:tcPr>
          <w:p>
            <w:pPr>
              <w:jc w:val="left"/>
            </w:pPr>
            <w:r>
              <w:rPr>
                <w:rFonts w:ascii="Microsoft YaHei" w:hAnsi="Microsoft YaHei" w:eastAsia="Microsoft YaHei"/>
                <w:color w:val="222222"/>
                <w:sz w:val="18"/>
              </w:rPr>
              <w:t>利空 / Bearish</w:t>
            </w:r>
            <w:r>
              <w:rPr>
                <w:rFonts w:ascii="Times New Roman" w:hAnsi="Times New Roman" w:eastAsia="Times New Roman"/>
                <w:i/>
                <w:color w:val="666666"/>
                <w:sz w:val="17"/>
              </w:rPr>
              <w:br/>
              <w:t>Bearish</w:t>
            </w:r>
          </w:p>
        </w:tc>
        <w:tc>
          <w:tcPr>
            <w:tcW w:type="dxa" w:w="5669"/>
            <w:vAlign w:val="center"/>
          </w:tcPr>
          <w:p>
            <w:pPr>
              <w:jc w:val="left"/>
            </w:pPr>
            <w:r>
              <w:rPr>
                <w:rFonts w:ascii="Microsoft YaHei" w:hAnsi="Microsoft YaHei" w:eastAsia="Microsoft YaHei"/>
                <w:color w:val="222222"/>
                <w:sz w:val="18"/>
              </w:rPr>
              <w:t>五大品种总库存1653.19万吨同比增277.8万吨（+20.2%），厂库社库共振累库，高库存成为价格反弹主要阻力。</w:t>
            </w:r>
            <w:r>
              <w:rPr>
                <w:rFonts w:ascii="Times New Roman" w:hAnsi="Times New Roman" w:eastAsia="Times New Roman"/>
                <w:i/>
                <w:color w:val="666666"/>
                <w:sz w:val="17"/>
              </w:rPr>
              <w:br/>
              <w:t>Five-product inventory 16.5319 Mt, +2.778 Mt YoY (+20.2%); mill and social inventory both building; high inventory is main obstacle to rebound.</w:t>
            </w:r>
          </w:p>
        </w:tc>
      </w:tr>
      <w:tr>
        <w:tc>
          <w:tcPr>
            <w:tcW w:type="dxa" w:w="1984"/>
            <w:vAlign w:val="center"/>
            <w:shd w:fill="F2F2F2"/>
          </w:tcPr>
          <w:p>
            <w:pPr>
              <w:jc w:val="left"/>
            </w:pPr>
            <w:r>
              <w:rPr>
                <w:rFonts w:ascii="Microsoft YaHei" w:hAnsi="Microsoft YaHei" w:eastAsia="Microsoft YaHei"/>
                <w:color w:val="222222"/>
                <w:sz w:val="18"/>
              </w:rPr>
              <w:t>淡季需求骤降、建材消费-9.6%</w:t>
            </w:r>
            <w:r>
              <w:rPr>
                <w:rFonts w:ascii="Times New Roman" w:hAnsi="Times New Roman" w:eastAsia="Times New Roman"/>
                <w:i/>
                <w:color w:val="666666"/>
                <w:sz w:val="17"/>
              </w:rPr>
              <w:br/>
              <w:t>Off-season demand plunges; building steel -9.6%</w:t>
            </w:r>
          </w:p>
        </w:tc>
        <w:tc>
          <w:tcPr>
            <w:tcW w:type="dxa" w:w="1701"/>
            <w:vAlign w:val="center"/>
            <w:shd w:fill="F2F2F2"/>
          </w:tcPr>
          <w:p>
            <w:pPr>
              <w:jc w:val="left"/>
            </w:pPr>
            <w:r>
              <w:rPr>
                <w:rFonts w:ascii="Microsoft YaHei" w:hAnsi="Microsoft YaHei" w:eastAsia="Microsoft YaHei"/>
                <w:color w:val="222222"/>
                <w:sz w:val="18"/>
              </w:rPr>
              <w:t>利空 / Bearish</w:t>
            </w:r>
            <w:r>
              <w:rPr>
                <w:rFonts w:ascii="Times New Roman" w:hAnsi="Times New Roman" w:eastAsia="Times New Roman"/>
                <w:i/>
                <w:color w:val="666666"/>
                <w:sz w:val="17"/>
              </w:rPr>
              <w:br/>
              <w:t>Bearish</w:t>
            </w:r>
          </w:p>
        </w:tc>
        <w:tc>
          <w:tcPr>
            <w:tcW w:type="dxa" w:w="5669"/>
            <w:vAlign w:val="center"/>
            <w:shd w:fill="F2F2F2"/>
          </w:tcPr>
          <w:p>
            <w:pPr>
              <w:jc w:val="left"/>
            </w:pPr>
            <w:r>
              <w:rPr>
                <w:rFonts w:ascii="Microsoft YaHei" w:hAnsi="Microsoft YaHei" w:eastAsia="Microsoft YaHei"/>
                <w:color w:val="222222"/>
                <w:sz w:val="18"/>
              </w:rPr>
              <w:t>五大品种消费量788.59万吨降至近四年同期最低；建材消费骤降9.6%，高温多雨+资金到位率连降四周。</w:t>
            </w:r>
            <w:r>
              <w:rPr>
                <w:rFonts w:ascii="Times New Roman" w:hAnsi="Times New Roman" w:eastAsia="Times New Roman"/>
                <w:i/>
                <w:color w:val="666666"/>
                <w:sz w:val="17"/>
              </w:rPr>
              <w:br/>
              <w:t>Five-product consumption 7.8859 Mt at four-year low; building steel -9.6%; high temperatures/rainfall + fund availability falling 4 weeks.</w:t>
            </w:r>
          </w:p>
        </w:tc>
      </w:tr>
      <w:tr>
        <w:tc>
          <w:tcPr>
            <w:tcW w:type="dxa" w:w="1984"/>
            <w:vAlign w:val="center"/>
          </w:tcPr>
          <w:p>
            <w:pPr>
              <w:jc w:val="left"/>
            </w:pPr>
            <w:r>
              <w:rPr>
                <w:rFonts w:ascii="Microsoft YaHei" w:hAnsi="Microsoft YaHei" w:eastAsia="Microsoft YaHei"/>
                <w:color w:val="222222"/>
                <w:sz w:val="18"/>
              </w:rPr>
              <w:t>贸易壁垒本周密集加码</w:t>
            </w:r>
            <w:r>
              <w:rPr>
                <w:rFonts w:ascii="Times New Roman" w:hAnsi="Times New Roman" w:eastAsia="Times New Roman"/>
                <w:i/>
                <w:color w:val="666666"/>
                <w:sz w:val="17"/>
              </w:rPr>
              <w:br/>
              <w:t>Trade barriers intensify this week</w:t>
            </w:r>
          </w:p>
        </w:tc>
        <w:tc>
          <w:tcPr>
            <w:tcW w:type="dxa" w:w="1701"/>
            <w:vAlign w:val="center"/>
          </w:tcPr>
          <w:p>
            <w:pPr>
              <w:jc w:val="left"/>
            </w:pPr>
            <w:r>
              <w:rPr>
                <w:rFonts w:ascii="Microsoft YaHei" w:hAnsi="Microsoft YaHei" w:eastAsia="Microsoft YaHei"/>
                <w:color w:val="222222"/>
                <w:sz w:val="18"/>
              </w:rPr>
              <w:t>利空 / Bearish</w:t>
            </w:r>
            <w:r>
              <w:rPr>
                <w:rFonts w:ascii="Times New Roman" w:hAnsi="Times New Roman" w:eastAsia="Times New Roman"/>
                <w:i/>
                <w:color w:val="666666"/>
                <w:sz w:val="17"/>
              </w:rPr>
              <w:br/>
              <w:t>Bearish</w:t>
            </w:r>
          </w:p>
        </w:tc>
        <w:tc>
          <w:tcPr>
            <w:tcW w:type="dxa" w:w="5669"/>
            <w:vAlign w:val="center"/>
          </w:tcPr>
          <w:p>
            <w:pPr>
              <w:jc w:val="left"/>
            </w:pPr>
            <w:r>
              <w:rPr>
                <w:rFonts w:ascii="Microsoft YaHei" w:hAnsi="Microsoft YaHei" w:eastAsia="Microsoft YaHei"/>
                <w:color w:val="222222"/>
                <w:sz w:val="18"/>
              </w:rPr>
              <w:t>日本对华HDG临时反倾销29.2%-55.3%、马来西亚双线立案、欧盟CRC终裁5.6%-28.0%；7月出口同比降4.4%，出口空间多维收窄。</w:t>
            </w:r>
            <w:r>
              <w:rPr>
                <w:rFonts w:ascii="Times New Roman" w:hAnsi="Times New Roman" w:eastAsia="Times New Roman"/>
                <w:i/>
                <w:color w:val="666666"/>
                <w:sz w:val="17"/>
              </w:rPr>
              <w:br/>
              <w:t>Japan provisional AD 29.2%-55.3% on Chinese HDG; Malaysia dual investigations; EU CRC final 5.6%-28.0%; July exports -4.4% YoY; export space narrowing on multiple fronts.</w:t>
            </w:r>
          </w:p>
        </w:tc>
      </w:tr>
      <w:tr>
        <w:tc>
          <w:tcPr>
            <w:tcW w:type="dxa" w:w="1984"/>
            <w:vAlign w:val="center"/>
            <w:shd w:fill="F2F2F2"/>
          </w:tcPr>
          <w:p>
            <w:pPr>
              <w:jc w:val="left"/>
            </w:pPr>
            <w:r>
              <w:rPr>
                <w:rFonts w:ascii="Microsoft YaHei" w:hAnsi="Microsoft YaHei" w:eastAsia="Microsoft YaHei"/>
                <w:color w:val="222222"/>
                <w:sz w:val="18"/>
              </w:rPr>
              <w:t>美伊谈判僵局、霍尔木兹全面开放遥遥无期</w:t>
            </w:r>
            <w:r>
              <w:rPr>
                <w:rFonts w:ascii="Times New Roman" w:hAnsi="Times New Roman" w:eastAsia="Times New Roman"/>
                <w:i/>
                <w:color w:val="666666"/>
                <w:sz w:val="17"/>
              </w:rPr>
              <w:br/>
              <w:t>U.S.-Iran talks stalled; full Hormuz reopening remote</w:t>
            </w:r>
          </w:p>
        </w:tc>
        <w:tc>
          <w:tcPr>
            <w:tcW w:type="dxa" w:w="1701"/>
            <w:vAlign w:val="center"/>
            <w:shd w:fill="F2F2F2"/>
          </w:tcPr>
          <w:p>
            <w:pPr>
              <w:jc w:val="left"/>
            </w:pPr>
            <w:r>
              <w:rPr>
                <w:rFonts w:ascii="Microsoft YaHei" w:hAnsi="Microsoft YaHei" w:eastAsia="Microsoft YaHei"/>
                <w:color w:val="222222"/>
                <w:sz w:val="18"/>
              </w:rPr>
              <w:t>中期不确定 / Medium-term uncertain</w:t>
            </w:r>
            <w:r>
              <w:rPr>
                <w:rFonts w:ascii="Times New Roman" w:hAnsi="Times New Roman" w:eastAsia="Times New Roman"/>
                <w:i/>
                <w:color w:val="666666"/>
                <w:sz w:val="17"/>
              </w:rPr>
              <w:br/>
              <w:t>Medium-term uncertain</w:t>
            </w:r>
          </w:p>
        </w:tc>
        <w:tc>
          <w:tcPr>
            <w:tcW w:type="dxa" w:w="5669"/>
            <w:vAlign w:val="center"/>
            <w:shd w:fill="F2F2F2"/>
          </w:tcPr>
          <w:p>
            <w:pPr>
              <w:jc w:val="left"/>
            </w:pPr>
            <w:r>
              <w:rPr>
                <w:rFonts w:ascii="Microsoft YaHei" w:hAnsi="Microsoft YaHei" w:eastAsia="Microsoft YaHei"/>
                <w:color w:val="222222"/>
                <w:sz w:val="18"/>
              </w:rPr>
              <w:t>8/10谈判陷入僵局互要赔偿，油价单日暴涨5%；但航线接近谈妥又提供缓和信号。地缘博弈仍是最大不确定性来源。</w:t>
            </w:r>
            <w:r>
              <w:rPr>
                <w:rFonts w:ascii="Times New Roman" w:hAnsi="Times New Roman" w:eastAsia="Times New Roman"/>
                <w:i/>
                <w:color w:val="666666"/>
                <w:sz w:val="17"/>
              </w:rPr>
              <w:br/>
              <w:t>Aug 10 talks stalled with mutual reparations demands, oil +5% in a day; but route near-deal provides de-escalation signal. Geopolitics remains the largest uncertainty.</w:t>
            </w:r>
          </w:p>
        </w:tc>
      </w:tr>
    </w:tbl>
    <w:p/>
    <w:p>
      <w:pPr>
        <w:spacing w:before="240" w:after="80"/>
      </w:pPr>
      <w:r>
        <w:rPr>
          <w:rFonts w:ascii="Microsoft YaHei" w:hAnsi="Microsoft YaHei" w:eastAsia="Microsoft YaHei"/>
          <w:b/>
          <w:color w:val="C00000"/>
          <w:sz w:val="24"/>
        </w:rPr>
        <w:t>7.2 综合判断 Overall View</w:t>
      </w:r>
    </w:p>
    <w:p>
      <w:pPr>
        <w:spacing w:after="60" w:line="240" w:lineRule="auto"/>
      </w:pPr>
      <w:r>
        <w:rPr>
          <w:rFonts w:ascii="Microsoft YaHei" w:hAnsi="Microsoft YaHei" w:eastAsia="Microsoft YaHei"/>
          <w:b w:val="0"/>
          <w:color w:val="222222"/>
          <w:sz w:val="18"/>
        </w:rPr>
        <w:t>短期钢市仍处于"供需双降、高库存压制、成本松动"的震荡偏弱格局。五大品种供应降至805.96万吨（-1.5%），但库存加速累加至1653.19万吨（+17.37万吨），同比增幅达20.2%，高库存成为价格反弹的核心阻力。消费量降至788.59万吨，建材消费骤降9.6%，高温多雨叠加资金到位率连续四周下降，淡季需求底部尚未确认。钢厂盈利率降至32.03%（-1.74pp），近七成企业亏损，铁水产量虽因唐山复产短期回升，但Mysteel预计下周将回落至235万吨——若亏损加深，8月中下旬可能触发更大规模焖炉停产。焦炭第三轮提降落地，铁矿石港口库存1.75亿吨高位，成本中枢继续下移。外部最大变量仍是美伊博弈：本周油价先因谈判乐观信号暴跌超10%，后因8月10日谈判陷入僵局单日反弹5%——霍尔木兹海峡全面开放遥遥无期，伊朗开出五条件、特朗普反要赔偿，双方在“谁先让步”上僵持不下。海运市场分化加剧：美线运价连续两周暴涨（美西+4.09%、美东+2.61%），欧线延续淡季回调（-2.46%），波斯湾线大涨7.44%反映地缘风险溢价持续攀升。BDI周线大涨13.1%至3083点，矿商抢舱预示铁矿石贸易阶段性回暖。中期需关注：一是8月中下旬钢厂是否出现大规模焖炉停产，触发供给端断崖式收缩；二是美伊谈判能否取得实质性突破，还是再度陷入“接近协议-再度破裂”的循环；三是央行下半年工作会议后8000亿财政工具的实际投放节奏，以及9月专项债对终端需求的拉动效果。建议B2B客户：维持低库存策略，优先执行已锁价订单；对出口新单充分评估日本HDG反倾销、马来西亚双线立案等新增关税成本；密切关注中东局势演变对海运成本和交货周期的冲击，尤其是波斯湾航线运价已连续两周大涨。</w:t>
      </w:r>
    </w:p>
    <w:p>
      <w:pPr>
        <w:spacing w:after="160" w:line="240" w:lineRule="auto"/>
      </w:pPr>
      <w:r>
        <w:rPr>
          <w:rFonts w:ascii="Times New Roman" w:hAnsi="Times New Roman" w:eastAsia="Times New Roman"/>
          <w:i/>
          <w:color w:val="666666"/>
          <w:sz w:val="17"/>
        </w:rPr>
        <w:t>In the near term, the steel market remains in a weakly volatile pattern of declining supply and demand, high inventory pressure and loosening costs. Five-product supply fell to 8.0596 Mt (-1.5%), but inventory accelerated to 16.5319 Mt (+0.1737 Mt), up 20.2% YoY — high inventory is the core obstacle to price rebound. Consumption dropped to 7.8859 Mt with building steel plunging 9.6%; high temperatures, rainfall and falling fund availability (4 consecutive weeks of decline) mean the off-season demand bottom is not yet confirmed. Mill profitability fell to 32.03% (-1.74pp), nearly 70% loss-making; hot metal rebounded on Tangshan restarts but Mysteel expects a fall back to ~2.35 Mt next week — if losses deepen, large-scale shutdowns may be triggered in mid-late August. Third coke price cut took effect; iron ore port inventory at 175 Mt high; cost center continues to move lower. The largest external variable remains U.S.-Iran dynamics: oil prices first plunged 10%+ on early-week optimism, then surged 5% on Aug 10 as talks stalled — full Hormuz reopening is remote, with Iran setting five conditions and Trump counter-demanding reparations; both sides are stuck on who makes the first concession. Shipping markets diverged sharply: US routes surged for a second week (USWC +4.09%, USEC +2.61%), Europe continued seasonal correction (-2.46%), Persian Gulf surged 7.44% reflecting elevated geopolitical risk premiums. BDI weekly +13.1% to 3,083; miner front-loading signals iron ore trade recovery. Medium-term watchpoints: (1) whether large-scale mill shutdowns emerge in mid-late August, triggering a cliff-like supply contraction; (2) whether U.S.-Iran talks achieve a substantive breakthrough or repeat the near-deal-then-collapse cycle; (3) the actual disbursement pace of the 800 billion fiscal tools after the PBoC H2 meeting, and the impact of September special bonds on terminal demand. B2B clients are advised to maintain low inventory, prioritize executed fixed-price orders, fully assess new tariff costs from Japan HDG AD and Malaysia dual investigations for new export orders, and closely monitor Middle East developments for shipping cost and delivery impacts — especially as Persian Gulf route freight has surged for two consecutive weeks.</w:t>
      </w:r>
    </w:p>
    <w:p/>
    <w:p>
      <w:pPr>
        <w:jc w:val="center"/>
      </w:pPr>
      <w:r>
        <w:rPr>
          <w:rFonts w:ascii="Microsoft YaHei" w:hAnsi="Microsoft YaHei" w:eastAsia="Microsoft YaHei"/>
          <w:color w:val="666666"/>
          <w:sz w:val="16"/>
        </w:rPr>
        <w:t>数据来源：Mysteel、Trading Economics、上海航运交易所、Baltic Exchange、S&amp;P Global、中国海关总署、商务部贸易救济调查局、世界钢铁协会等</w:t>
        <w:br/>
      </w:r>
      <w:r>
        <w:rPr>
          <w:rFonts w:ascii="Times New Roman" w:hAnsi="Times New Roman" w:eastAsia="Times New Roman"/>
          <w:i/>
          <w:color w:val="666666"/>
          <w:sz w:val="15"/>
        </w:rPr>
        <w:t>Data Sources: Mysteel, Trading Economics, Shanghai Shipping Exchange, Baltic Exchange, S&amp;P Global, GACC, MOFCOM Trade Remedy Bureau, worldsteel, etc.</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